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4C" w:rsidRDefault="009F1A4C" w:rsidP="00346489">
      <w:pPr>
        <w:spacing w:line="360" w:lineRule="auto"/>
        <w:ind w:firstLine="708"/>
        <w:jc w:val="center"/>
        <w:rPr>
          <w:b/>
          <w:sz w:val="28"/>
          <w:szCs w:val="28"/>
        </w:rPr>
      </w:pPr>
      <w:bookmarkStart w:id="0" w:name="_Toc407002768"/>
      <w:bookmarkStart w:id="1" w:name="_Toc407002882"/>
      <w:bookmarkStart w:id="2" w:name="_Toc407003026"/>
      <w:bookmarkStart w:id="3" w:name="_Toc407003085"/>
      <w:bookmarkStart w:id="4" w:name="_Toc407003128"/>
      <w:bookmarkStart w:id="5" w:name="_Toc407003194"/>
      <w:bookmarkStart w:id="6" w:name="_Toc407021479"/>
      <w:bookmarkStart w:id="7" w:name="_GoBack"/>
      <w:bookmarkEnd w:id="7"/>
    </w:p>
    <w:p w:rsidR="00346489" w:rsidRPr="00C8760D" w:rsidRDefault="00F24D94" w:rsidP="0034648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4139DF">
        <w:rPr>
          <w:noProof/>
        </w:rPr>
        <w:drawing>
          <wp:anchor distT="0" distB="1632" distL="120396" distR="114300" simplePos="0" relativeHeight="251657728" behindDoc="1" locked="0" layoutInCell="1" allowOverlap="1" wp14:anchorId="42C3F2D7" wp14:editId="72480755">
            <wp:simplePos x="0" y="0"/>
            <wp:positionH relativeFrom="column">
              <wp:posOffset>-980440</wp:posOffset>
            </wp:positionH>
            <wp:positionV relativeFrom="paragraph">
              <wp:posOffset>-926131</wp:posOffset>
            </wp:positionV>
            <wp:extent cx="7963123" cy="10768083"/>
            <wp:effectExtent l="0" t="0" r="0" b="0"/>
            <wp:wrapNone/>
            <wp:docPr id="3" name="Obraz 2" descr="mrr bez tytuł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2" descr="mrr bez tytuł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3123" cy="10768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bookmarkEnd w:id="4"/>
      <w:bookmarkEnd w:id="5"/>
      <w:bookmarkEnd w:id="6"/>
      <w:r w:rsidR="00346489" w:rsidRPr="00C8760D">
        <w:rPr>
          <w:b/>
          <w:sz w:val="28"/>
          <w:szCs w:val="28"/>
        </w:rPr>
        <w:t xml:space="preserve">Ministerstwo </w:t>
      </w:r>
      <w:r w:rsidR="00183FC1">
        <w:rPr>
          <w:b/>
          <w:sz w:val="28"/>
          <w:szCs w:val="28"/>
        </w:rPr>
        <w:t xml:space="preserve">Inwestycji i </w:t>
      </w:r>
      <w:r w:rsidR="00F2661F" w:rsidRPr="00C8760D">
        <w:rPr>
          <w:b/>
          <w:sz w:val="28"/>
          <w:szCs w:val="28"/>
        </w:rPr>
        <w:t>Rozwoju</w:t>
      </w:r>
    </w:p>
    <w:p w:rsidR="00346489" w:rsidRPr="00C8760D" w:rsidRDefault="00346489" w:rsidP="0034648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8760D">
        <w:rPr>
          <w:b/>
          <w:sz w:val="28"/>
          <w:szCs w:val="28"/>
        </w:rPr>
        <w:t>Departament Europejski</w:t>
      </w:r>
      <w:r w:rsidR="00F2661F" w:rsidRPr="00C8760D">
        <w:rPr>
          <w:b/>
          <w:sz w:val="28"/>
          <w:szCs w:val="28"/>
        </w:rPr>
        <w:t>ego Funduszu Społecznego</w:t>
      </w:r>
    </w:p>
    <w:p w:rsidR="00346489" w:rsidRPr="00C8760D" w:rsidRDefault="00346489" w:rsidP="0034648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346489" w:rsidRPr="00C8760D" w:rsidRDefault="00346489" w:rsidP="0034648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346489" w:rsidRPr="00C8760D" w:rsidRDefault="00346489" w:rsidP="00346489">
      <w:pPr>
        <w:spacing w:line="360" w:lineRule="auto"/>
        <w:ind w:firstLine="708"/>
        <w:jc w:val="both"/>
        <w:rPr>
          <w:sz w:val="24"/>
          <w:szCs w:val="24"/>
        </w:rPr>
      </w:pPr>
      <w:r w:rsidRPr="00C8760D">
        <w:rPr>
          <w:b/>
          <w:sz w:val="24"/>
          <w:szCs w:val="24"/>
        </w:rPr>
        <w:tab/>
      </w:r>
      <w:r w:rsidRPr="00C8760D">
        <w:rPr>
          <w:b/>
          <w:sz w:val="24"/>
          <w:szCs w:val="24"/>
        </w:rPr>
        <w:tab/>
      </w:r>
      <w:r w:rsidRPr="00C8760D">
        <w:rPr>
          <w:b/>
          <w:sz w:val="24"/>
          <w:szCs w:val="24"/>
        </w:rPr>
        <w:tab/>
      </w:r>
      <w:r w:rsidRPr="00C8760D">
        <w:rPr>
          <w:sz w:val="24"/>
          <w:szCs w:val="24"/>
        </w:rPr>
        <w:t xml:space="preserve">               </w:t>
      </w:r>
    </w:p>
    <w:p w:rsidR="00346489" w:rsidRPr="00C8760D" w:rsidRDefault="00346489" w:rsidP="00346489">
      <w:pPr>
        <w:pStyle w:val="Nagwek1"/>
        <w:tabs>
          <w:tab w:val="left" w:pos="9602"/>
        </w:tabs>
        <w:spacing w:line="360" w:lineRule="auto"/>
        <w:jc w:val="both"/>
        <w:rPr>
          <w:color w:val="000000"/>
          <w:sz w:val="24"/>
          <w:szCs w:val="24"/>
        </w:rPr>
      </w:pPr>
      <w:r w:rsidRPr="00C8760D">
        <w:rPr>
          <w:b w:val="0"/>
          <w:sz w:val="24"/>
          <w:szCs w:val="24"/>
        </w:rPr>
        <w:t xml:space="preserve">                      </w:t>
      </w:r>
    </w:p>
    <w:p w:rsidR="00A25635" w:rsidRDefault="00C42685" w:rsidP="00C42685">
      <w:pPr>
        <w:spacing w:line="36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C42685">
        <w:rPr>
          <w:b/>
          <w:i/>
          <w:color w:val="0D0D0D" w:themeColor="text1" w:themeTint="F2"/>
          <w:sz w:val="40"/>
          <w:szCs w:val="40"/>
        </w:rPr>
        <w:t>Metodologi</w:t>
      </w:r>
      <w:r w:rsidR="002D0C05">
        <w:rPr>
          <w:b/>
          <w:i/>
          <w:color w:val="0D0D0D" w:themeColor="text1" w:themeTint="F2"/>
          <w:sz w:val="40"/>
          <w:szCs w:val="40"/>
        </w:rPr>
        <w:t>a</w:t>
      </w:r>
      <w:r w:rsidRPr="00C42685">
        <w:rPr>
          <w:b/>
          <w:i/>
          <w:color w:val="0D0D0D" w:themeColor="text1" w:themeTint="F2"/>
          <w:sz w:val="40"/>
          <w:szCs w:val="40"/>
        </w:rPr>
        <w:t xml:space="preserve"> wyliczenia </w:t>
      </w:r>
      <w:r w:rsidR="00F67732">
        <w:rPr>
          <w:b/>
          <w:i/>
          <w:color w:val="0D0D0D" w:themeColor="text1" w:themeTint="F2"/>
          <w:sz w:val="40"/>
          <w:szCs w:val="40"/>
        </w:rPr>
        <w:br/>
      </w:r>
      <w:r w:rsidRPr="00C42685">
        <w:rPr>
          <w:b/>
          <w:i/>
          <w:color w:val="0D0D0D" w:themeColor="text1" w:themeTint="F2"/>
          <w:sz w:val="40"/>
          <w:szCs w:val="40"/>
        </w:rPr>
        <w:t xml:space="preserve">stawki jednostkowej aktywizacji zawodowej </w:t>
      </w:r>
      <w:r w:rsidR="00154D84">
        <w:rPr>
          <w:b/>
          <w:i/>
          <w:color w:val="0D0D0D" w:themeColor="text1" w:themeTint="F2"/>
          <w:sz w:val="40"/>
          <w:szCs w:val="40"/>
        </w:rPr>
        <w:t>o</w:t>
      </w:r>
      <w:r w:rsidRPr="00C42685">
        <w:rPr>
          <w:b/>
          <w:i/>
          <w:color w:val="0D0D0D" w:themeColor="text1" w:themeTint="F2"/>
          <w:sz w:val="40"/>
          <w:szCs w:val="40"/>
        </w:rPr>
        <w:t>sób młodych</w:t>
      </w:r>
      <w:r w:rsidR="00F67732">
        <w:rPr>
          <w:b/>
          <w:i/>
          <w:color w:val="0D0D0D" w:themeColor="text1" w:themeTint="F2"/>
          <w:sz w:val="40"/>
          <w:szCs w:val="40"/>
        </w:rPr>
        <w:t xml:space="preserve"> </w:t>
      </w:r>
      <w:r w:rsidR="00236665">
        <w:rPr>
          <w:b/>
          <w:i/>
          <w:color w:val="0D0D0D" w:themeColor="text1" w:themeTint="F2"/>
          <w:sz w:val="40"/>
          <w:szCs w:val="40"/>
        </w:rPr>
        <w:t>niepracujących</w:t>
      </w:r>
      <w:r w:rsidR="00F67732">
        <w:rPr>
          <w:b/>
          <w:i/>
          <w:color w:val="0D0D0D" w:themeColor="text1" w:themeTint="F2"/>
          <w:sz w:val="40"/>
          <w:szCs w:val="40"/>
        </w:rPr>
        <w:br/>
      </w:r>
      <w:r w:rsidRPr="00C42685">
        <w:rPr>
          <w:b/>
          <w:i/>
          <w:color w:val="0D0D0D" w:themeColor="text1" w:themeTint="F2"/>
          <w:sz w:val="40"/>
          <w:szCs w:val="40"/>
        </w:rPr>
        <w:t>oraz</w:t>
      </w:r>
      <w:r w:rsidR="00F67732">
        <w:rPr>
          <w:b/>
          <w:i/>
          <w:color w:val="0D0D0D" w:themeColor="text1" w:themeTint="F2"/>
          <w:sz w:val="40"/>
          <w:szCs w:val="40"/>
        </w:rPr>
        <w:t xml:space="preserve"> </w:t>
      </w:r>
      <w:r w:rsidR="00F67732">
        <w:rPr>
          <w:b/>
          <w:i/>
          <w:color w:val="0D0D0D" w:themeColor="text1" w:themeTint="F2"/>
          <w:sz w:val="40"/>
          <w:szCs w:val="40"/>
        </w:rPr>
        <w:br/>
      </w:r>
      <w:r w:rsidRPr="00C42685">
        <w:rPr>
          <w:b/>
          <w:i/>
          <w:color w:val="0D0D0D" w:themeColor="text1" w:themeTint="F2"/>
          <w:sz w:val="40"/>
          <w:szCs w:val="40"/>
        </w:rPr>
        <w:t xml:space="preserve">stawki jednostkowej wsparcia osób młodych </w:t>
      </w:r>
      <w:r w:rsidR="00F67732">
        <w:rPr>
          <w:b/>
          <w:i/>
          <w:color w:val="0D0D0D" w:themeColor="text1" w:themeTint="F2"/>
          <w:sz w:val="40"/>
          <w:szCs w:val="40"/>
        </w:rPr>
        <w:t>p</w:t>
      </w:r>
      <w:r w:rsidRPr="00C42685">
        <w:rPr>
          <w:b/>
          <w:i/>
          <w:color w:val="0D0D0D" w:themeColor="text1" w:themeTint="F2"/>
          <w:sz w:val="40"/>
          <w:szCs w:val="40"/>
        </w:rPr>
        <w:t>racujących</w:t>
      </w:r>
      <w:r w:rsidR="00F67732">
        <w:rPr>
          <w:b/>
          <w:i/>
          <w:color w:val="0D0D0D" w:themeColor="text1" w:themeTint="F2"/>
          <w:sz w:val="40"/>
          <w:szCs w:val="40"/>
        </w:rPr>
        <w:t xml:space="preserve"> </w:t>
      </w:r>
    </w:p>
    <w:p w:rsidR="00A25635" w:rsidRDefault="00A25635" w:rsidP="00C42685">
      <w:pPr>
        <w:spacing w:line="360" w:lineRule="auto"/>
        <w:jc w:val="center"/>
        <w:rPr>
          <w:b/>
          <w:i/>
          <w:color w:val="0D0D0D" w:themeColor="text1" w:themeTint="F2"/>
          <w:sz w:val="40"/>
          <w:szCs w:val="40"/>
        </w:rPr>
      </w:pPr>
    </w:p>
    <w:p w:rsidR="00A25635" w:rsidRDefault="00C42685" w:rsidP="00C42685">
      <w:pPr>
        <w:spacing w:line="36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C42685">
        <w:rPr>
          <w:b/>
          <w:i/>
          <w:color w:val="0D0D0D" w:themeColor="text1" w:themeTint="F2"/>
          <w:sz w:val="40"/>
          <w:szCs w:val="40"/>
        </w:rPr>
        <w:t xml:space="preserve">w ramach </w:t>
      </w:r>
    </w:p>
    <w:p w:rsidR="00EF6ED5" w:rsidRPr="00C8760D" w:rsidRDefault="00A25635" w:rsidP="00320AA1">
      <w:pPr>
        <w:jc w:val="center"/>
      </w:pPr>
      <w:r>
        <w:rPr>
          <w:b/>
          <w:i/>
          <w:color w:val="0D0D0D" w:themeColor="text1" w:themeTint="F2"/>
          <w:sz w:val="40"/>
          <w:szCs w:val="40"/>
        </w:rPr>
        <w:t xml:space="preserve">Programu Operacyjnego Wiedza Edukacja Rozwój </w:t>
      </w:r>
      <w:r w:rsidR="00C42685" w:rsidRPr="00C42685">
        <w:rPr>
          <w:b/>
          <w:i/>
          <w:color w:val="0D0D0D" w:themeColor="text1" w:themeTint="F2"/>
          <w:sz w:val="40"/>
          <w:szCs w:val="40"/>
        </w:rPr>
        <w:t>2014-2020</w:t>
      </w:r>
    </w:p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C8760D" w:rsidRDefault="00EF6ED5" w:rsidP="00EF6ED5"/>
    <w:p w:rsidR="00EF6ED5" w:rsidRPr="00122A7D" w:rsidRDefault="00F27AC9" w:rsidP="00320AA1">
      <w:pPr>
        <w:tabs>
          <w:tab w:val="left" w:pos="39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 </w:t>
      </w:r>
      <w:r w:rsidR="00BD2994">
        <w:rPr>
          <w:b/>
          <w:sz w:val="24"/>
          <w:szCs w:val="24"/>
        </w:rPr>
        <w:t>M</w:t>
      </w:r>
      <w:r w:rsidR="005126FC">
        <w:rPr>
          <w:b/>
          <w:sz w:val="24"/>
          <w:szCs w:val="24"/>
        </w:rPr>
        <w:t>a</w:t>
      </w:r>
      <w:r w:rsidR="00BD2994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ca</w:t>
      </w:r>
      <w:r w:rsidR="00BD2994" w:rsidRPr="00122A7D">
        <w:rPr>
          <w:b/>
          <w:sz w:val="24"/>
          <w:szCs w:val="24"/>
        </w:rPr>
        <w:t xml:space="preserve"> </w:t>
      </w:r>
      <w:r w:rsidR="00CE426F" w:rsidRPr="00122A7D">
        <w:rPr>
          <w:b/>
          <w:sz w:val="24"/>
          <w:szCs w:val="24"/>
        </w:rPr>
        <w:t>2018 r.</w:t>
      </w:r>
    </w:p>
    <w:p w:rsidR="00EF6ED5" w:rsidRPr="00122A7D" w:rsidRDefault="00EF6ED5" w:rsidP="00EF6ED5">
      <w:pPr>
        <w:rPr>
          <w:b/>
          <w:sz w:val="24"/>
          <w:szCs w:val="24"/>
        </w:rPr>
      </w:pPr>
    </w:p>
    <w:p w:rsidR="006A06FD" w:rsidRPr="00C8760D" w:rsidRDefault="00EF6ED5" w:rsidP="00EF6ED5">
      <w:pPr>
        <w:jc w:val="center"/>
      </w:pPr>
      <w:r w:rsidRPr="00C8760D">
        <w:rPr>
          <w:b/>
          <w:noProof/>
          <w:color w:val="000000"/>
          <w:sz w:val="24"/>
          <w:szCs w:val="24"/>
        </w:rPr>
        <w:lastRenderedPageBreak/>
        <w:drawing>
          <wp:inline distT="0" distB="0" distL="0" distR="0" wp14:anchorId="504E30ED" wp14:editId="62B7E769">
            <wp:extent cx="4739552" cy="428625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622" cy="42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06FD" w:rsidRPr="00C8760D" w:rsidRDefault="006A06FD" w:rsidP="006A06FD"/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4217167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92C2B" w:rsidRPr="00C8760D" w:rsidRDefault="00092C2B">
          <w:pPr>
            <w:pStyle w:val="Nagwekspisutreci"/>
            <w:rPr>
              <w:rFonts w:ascii="Times New Roman" w:hAnsi="Times New Roman" w:cs="Times New Roman"/>
              <w:b/>
            </w:rPr>
          </w:pPr>
          <w:r w:rsidRPr="00C8760D">
            <w:rPr>
              <w:rFonts w:ascii="Times New Roman" w:hAnsi="Times New Roman" w:cs="Times New Roman"/>
              <w:b/>
            </w:rPr>
            <w:t>Spis treści</w:t>
          </w:r>
        </w:p>
        <w:p w:rsidR="00092C2B" w:rsidRPr="00C8760D" w:rsidRDefault="00092C2B" w:rsidP="00092C2B"/>
        <w:p w:rsidR="00752BDD" w:rsidRDefault="00092C2B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760D">
            <w:fldChar w:fldCharType="begin"/>
          </w:r>
          <w:r w:rsidRPr="00C8760D">
            <w:instrText xml:space="preserve"> TOC \o "1-3" \h \z \u </w:instrText>
          </w:r>
          <w:r w:rsidRPr="00C8760D">
            <w:fldChar w:fldCharType="separate"/>
          </w:r>
          <w:hyperlink w:anchor="_Toc510100700" w:history="1">
            <w:r w:rsidR="00752BDD" w:rsidRPr="00B2016F">
              <w:rPr>
                <w:rStyle w:val="Hipercze"/>
                <w:rFonts w:ascii="Arial" w:hAnsi="Arial" w:cs="Arial"/>
                <w:noProof/>
              </w:rPr>
              <w:t>1.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noProof/>
              </w:rPr>
              <w:t>Wstęp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_Toc510100700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3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1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2.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Wskazanie typów  operacji, do których zastosowanie mają stawki jednostkowe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_Toc510100701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3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2" w:history="1">
            <w:r w:rsidR="00752BDD" w:rsidRPr="00B2016F">
              <w:rPr>
                <w:rStyle w:val="Hipercze"/>
                <w:rFonts w:ascii="Arial" w:hAnsi="Arial" w:cs="Arial"/>
                <w:noProof/>
              </w:rPr>
              <w:t>3.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noProof/>
              </w:rPr>
              <w:t>Szczegółowy zakres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_Toc510100702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4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3" w:history="1">
            <w:r w:rsidR="00752BDD" w:rsidRPr="00B2016F">
              <w:rPr>
                <w:rStyle w:val="Hipercze"/>
                <w:rFonts w:ascii="Arial" w:hAnsi="Arial" w:cs="Arial"/>
                <w:noProof/>
              </w:rPr>
              <w:t>4.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noProof/>
              </w:rPr>
              <w:t>Wysokość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_Toc510100703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5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4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5.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Opis i definicja wskaźnika rozliczającego stawkę jednostkową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_Toc510100704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6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5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6.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Źródło danych użytych do kalkulacji stawek jednostkowych, załączone dane źródłowe, miejsce ich przechowywania oraz wskazanie okresu, którego te dane dotyczą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_Toc510100705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7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6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7.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Uzasadnienie, dlaczego proponowana kalkulacja jest odpowiednia dla danych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_Toc510100706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7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7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8.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Opis sposobu kalkulacji stawek, w tym założenia w zakresie jakości lub ilości danych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_Toc510100707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8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8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9.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Informacje o dochodach, które mogą powstać w związku z zastosowaniem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_Toc510100708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10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09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10.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Informacje, w jaki sposób zapewniono, że tylko wydatki kwalifikowalne uwzględniono  w ramach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_Toc510100709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10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10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11.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Poziom cross-financingu i zakupu środków trwałych objętych stawkami jednostkowymi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_Toc510100710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10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11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12.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Sposób weryfikacji/dokumenty potwierdzające wykonanie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_Toc510100711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10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12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13.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Opis ryzyka związanego z wprowadzeniem stawki jednostkowej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_Toc510100712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11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13" w:history="1"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14.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b/>
                <w:noProof/>
              </w:rPr>
              <w:t>Indeksacja stawek jednostkowych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_Toc510100713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11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752BDD" w:rsidRDefault="005F771F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0100714" w:history="1">
            <w:r w:rsidR="00752BDD" w:rsidRPr="00B2016F">
              <w:rPr>
                <w:rStyle w:val="Hipercze"/>
                <w:rFonts w:ascii="Arial" w:hAnsi="Arial" w:cs="Arial"/>
                <w:noProof/>
              </w:rPr>
              <w:t>15.</w:t>
            </w:r>
            <w:r w:rsidR="00752BD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BDD" w:rsidRPr="00B2016F">
              <w:rPr>
                <w:rStyle w:val="Hipercze"/>
                <w:rFonts w:ascii="Arial" w:hAnsi="Arial" w:cs="Arial"/>
                <w:noProof/>
              </w:rPr>
              <w:t>Załączniki</w:t>
            </w:r>
            <w:r w:rsidR="00752BDD">
              <w:rPr>
                <w:noProof/>
                <w:webHidden/>
              </w:rPr>
              <w:tab/>
            </w:r>
            <w:r w:rsidR="00752BDD">
              <w:rPr>
                <w:noProof/>
                <w:webHidden/>
              </w:rPr>
              <w:fldChar w:fldCharType="begin"/>
            </w:r>
            <w:r w:rsidR="00752BDD">
              <w:rPr>
                <w:noProof/>
                <w:webHidden/>
              </w:rPr>
              <w:instrText xml:space="preserve"> PAGEREF _Toc510100714 \h </w:instrText>
            </w:r>
            <w:r w:rsidR="00752BDD">
              <w:rPr>
                <w:noProof/>
                <w:webHidden/>
              </w:rPr>
            </w:r>
            <w:r w:rsidR="00752BDD">
              <w:rPr>
                <w:noProof/>
                <w:webHidden/>
              </w:rPr>
              <w:fldChar w:fldCharType="separate"/>
            </w:r>
            <w:r w:rsidR="00236665">
              <w:rPr>
                <w:noProof/>
                <w:webHidden/>
              </w:rPr>
              <w:t>11</w:t>
            </w:r>
            <w:r w:rsidR="00752BDD">
              <w:rPr>
                <w:noProof/>
                <w:webHidden/>
              </w:rPr>
              <w:fldChar w:fldCharType="end"/>
            </w:r>
          </w:hyperlink>
        </w:p>
        <w:p w:rsidR="00092C2B" w:rsidRPr="00C8760D" w:rsidRDefault="00092C2B">
          <w:r w:rsidRPr="00C8760D">
            <w:rPr>
              <w:b/>
              <w:bCs/>
            </w:rPr>
            <w:fldChar w:fldCharType="end"/>
          </w:r>
        </w:p>
      </w:sdtContent>
    </w:sdt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Pr="00C8760D" w:rsidRDefault="006A06FD" w:rsidP="006A06FD"/>
    <w:p w:rsidR="006A06FD" w:rsidRDefault="006A06FD" w:rsidP="006A06FD"/>
    <w:p w:rsidR="00891029" w:rsidRDefault="00891029" w:rsidP="006A06FD"/>
    <w:p w:rsidR="00891029" w:rsidRPr="00C8760D" w:rsidRDefault="00891029" w:rsidP="006A06FD"/>
    <w:p w:rsidR="006A06FD" w:rsidRPr="006114D3" w:rsidRDefault="006A06FD" w:rsidP="006114D3">
      <w:pPr>
        <w:pStyle w:val="Nagwek1"/>
        <w:numPr>
          <w:ilvl w:val="0"/>
          <w:numId w:val="3"/>
        </w:numPr>
        <w:spacing w:after="120"/>
        <w:rPr>
          <w:rFonts w:ascii="Arial" w:hAnsi="Arial" w:cs="Arial"/>
          <w:sz w:val="20"/>
        </w:rPr>
      </w:pPr>
      <w:bookmarkStart w:id="8" w:name="_Toc509905528"/>
      <w:bookmarkStart w:id="9" w:name="_Toc509905569"/>
      <w:bookmarkStart w:id="10" w:name="_Toc510000076"/>
      <w:bookmarkStart w:id="11" w:name="_Toc509905529"/>
      <w:bookmarkStart w:id="12" w:name="_Toc509905570"/>
      <w:bookmarkStart w:id="13" w:name="_Toc510000077"/>
      <w:bookmarkStart w:id="14" w:name="_Toc509905530"/>
      <w:bookmarkStart w:id="15" w:name="_Toc509905571"/>
      <w:bookmarkStart w:id="16" w:name="_Toc510000078"/>
      <w:bookmarkStart w:id="17" w:name="_Toc51010070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114D3">
        <w:rPr>
          <w:rFonts w:ascii="Arial" w:hAnsi="Arial" w:cs="Arial"/>
          <w:sz w:val="20"/>
        </w:rPr>
        <w:lastRenderedPageBreak/>
        <w:t>Wstęp</w:t>
      </w:r>
      <w:bookmarkEnd w:id="17"/>
    </w:p>
    <w:p w:rsidR="00677FA7" w:rsidRDefault="006114D3" w:rsidP="006114D3">
      <w:p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Stosowanie uproszczonych metod rozliczania wydatków jest rekomendowane przez Komisję Europejską oraz Europejski Trybunał Obrachunkowy</w:t>
      </w:r>
      <w:r>
        <w:rPr>
          <w:rFonts w:ascii="Arial" w:hAnsi="Arial" w:cs="Arial"/>
          <w:color w:val="000000"/>
        </w:rPr>
        <w:t>. Rekomendacja ta wynika</w:t>
      </w:r>
      <w:r w:rsidRPr="006114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 </w:t>
      </w:r>
      <w:r w:rsidRPr="006114D3">
        <w:rPr>
          <w:rFonts w:ascii="Arial" w:hAnsi="Arial" w:cs="Arial"/>
          <w:color w:val="000000"/>
        </w:rPr>
        <w:t>doświadczeń poprzedniego okresu programowania</w:t>
      </w:r>
      <w:r>
        <w:rPr>
          <w:rFonts w:ascii="Arial" w:hAnsi="Arial" w:cs="Arial"/>
          <w:color w:val="000000"/>
        </w:rPr>
        <w:t xml:space="preserve"> w latach 2007-2013</w:t>
      </w:r>
      <w:r w:rsidRPr="006114D3">
        <w:rPr>
          <w:rFonts w:ascii="Arial" w:hAnsi="Arial" w:cs="Arial"/>
          <w:color w:val="000000"/>
        </w:rPr>
        <w:t xml:space="preserve">. </w:t>
      </w:r>
    </w:p>
    <w:p w:rsidR="006114D3" w:rsidRPr="006114D3" w:rsidRDefault="006114D3" w:rsidP="006114D3">
      <w:p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interwencji. Jednocześnie z wyników audytów przeprowadzonych przez Europejski Trybunał Obrachunkowy wynika, że przy wydatkowaniu środków z zastosowaniem uproszczonych metod rozliczania wydatków rzadko występują nieprawidłowości.</w:t>
      </w:r>
    </w:p>
    <w:p w:rsidR="004F2D27" w:rsidRPr="006114D3" w:rsidRDefault="004F2D27" w:rsidP="006114D3">
      <w:p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Zgodnie z art. 67 ust. 1 rozporządzenia ogólnego</w:t>
      </w:r>
      <w:r w:rsidR="006114D3">
        <w:rPr>
          <w:rFonts w:ascii="Arial" w:hAnsi="Arial" w:cs="Arial"/>
          <w:color w:val="000000"/>
        </w:rPr>
        <w:t xml:space="preserve"> nr 1303/2013</w:t>
      </w:r>
      <w:r w:rsidRPr="006114D3">
        <w:rPr>
          <w:rFonts w:ascii="Arial" w:hAnsi="Arial" w:cs="Arial"/>
          <w:color w:val="000000"/>
        </w:rPr>
        <w:t>, wydatki związane z realizacją programów finansowanych z funduszy strukturalnych mogą być rozliczane na podstawie zwrotu rzeczywiście poniesionych kosztów lub w oparciu o metody uproszczone, do których zalicza się</w:t>
      </w:r>
      <w:r w:rsidR="00677FA7">
        <w:rPr>
          <w:rFonts w:ascii="Arial" w:hAnsi="Arial" w:cs="Arial"/>
          <w:color w:val="000000"/>
        </w:rPr>
        <w:t>:</w:t>
      </w:r>
    </w:p>
    <w:p w:rsidR="004F2D27" w:rsidRPr="006114D3" w:rsidRDefault="004F2D27" w:rsidP="006114D3">
      <w:pPr>
        <w:numPr>
          <w:ilvl w:val="1"/>
          <w:numId w:val="1"/>
        </w:num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stawki jednostkowe,</w:t>
      </w:r>
    </w:p>
    <w:p w:rsidR="004F2D27" w:rsidRPr="006114D3" w:rsidRDefault="004F2D27" w:rsidP="006114D3">
      <w:pPr>
        <w:numPr>
          <w:ilvl w:val="1"/>
          <w:numId w:val="1"/>
        </w:num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kwoty ryczałtowe,</w:t>
      </w:r>
    </w:p>
    <w:p w:rsidR="004F2D27" w:rsidRPr="006114D3" w:rsidRDefault="004F2D27" w:rsidP="006114D3">
      <w:pPr>
        <w:numPr>
          <w:ilvl w:val="1"/>
          <w:numId w:val="1"/>
        </w:num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>stawki ryczałtowe.</w:t>
      </w:r>
    </w:p>
    <w:p w:rsidR="00F24D94" w:rsidRDefault="00677FA7" w:rsidP="00677FA7">
      <w:pPr>
        <w:spacing w:after="120"/>
        <w:jc w:val="both"/>
        <w:rPr>
          <w:rFonts w:ascii="Arial" w:hAnsi="Arial" w:cs="Arial"/>
          <w:b/>
          <w:color w:val="000000"/>
        </w:rPr>
      </w:pPr>
      <w:r w:rsidRPr="00E857F2">
        <w:rPr>
          <w:rFonts w:ascii="Arial" w:hAnsi="Arial" w:cs="Arial"/>
          <w:b/>
          <w:color w:val="000000"/>
        </w:rPr>
        <w:t>Niniejsza metodologia dotyczy stawki jednostkowej</w:t>
      </w:r>
      <w:r w:rsidR="007E1E7A">
        <w:rPr>
          <w:rFonts w:ascii="Arial" w:hAnsi="Arial" w:cs="Arial"/>
          <w:b/>
          <w:color w:val="000000"/>
        </w:rPr>
        <w:t xml:space="preserve"> aktywizacji zawodowej </w:t>
      </w:r>
      <w:r w:rsidR="00F67732">
        <w:rPr>
          <w:rFonts w:ascii="Arial" w:hAnsi="Arial" w:cs="Arial"/>
          <w:b/>
          <w:color w:val="000000"/>
        </w:rPr>
        <w:t>osób młodych</w:t>
      </w:r>
      <w:r w:rsidR="00236665" w:rsidRPr="00236665">
        <w:rPr>
          <w:rFonts w:ascii="Arial" w:hAnsi="Arial" w:cs="Arial"/>
          <w:b/>
          <w:color w:val="000000"/>
        </w:rPr>
        <w:t xml:space="preserve"> </w:t>
      </w:r>
      <w:r w:rsidR="00236665">
        <w:rPr>
          <w:rFonts w:ascii="Arial" w:hAnsi="Arial" w:cs="Arial"/>
          <w:b/>
          <w:color w:val="000000"/>
        </w:rPr>
        <w:t>niepracujących</w:t>
      </w:r>
      <w:r w:rsidR="001A70EC">
        <w:rPr>
          <w:rStyle w:val="Odwoanieprzypisudolnego"/>
          <w:rFonts w:ascii="Arial" w:hAnsi="Arial" w:cs="Arial"/>
          <w:b/>
          <w:color w:val="000000"/>
        </w:rPr>
        <w:footnoteReference w:id="1"/>
      </w:r>
      <w:r w:rsidR="00E94AA5">
        <w:rPr>
          <w:rFonts w:ascii="Arial" w:hAnsi="Arial" w:cs="Arial"/>
          <w:b/>
          <w:color w:val="000000"/>
        </w:rPr>
        <w:t xml:space="preserve"> </w:t>
      </w:r>
      <w:r w:rsidR="00EE2683">
        <w:rPr>
          <w:rFonts w:ascii="Arial" w:hAnsi="Arial" w:cs="Arial"/>
          <w:b/>
          <w:color w:val="000000"/>
        </w:rPr>
        <w:t xml:space="preserve">oraz </w:t>
      </w:r>
      <w:r w:rsidR="002218F0">
        <w:rPr>
          <w:rFonts w:ascii="Arial" w:hAnsi="Arial" w:cs="Arial"/>
          <w:b/>
          <w:color w:val="000000"/>
        </w:rPr>
        <w:t xml:space="preserve">stawki jednostkowej </w:t>
      </w:r>
      <w:r w:rsidR="002218F0" w:rsidRPr="002218F0">
        <w:rPr>
          <w:rFonts w:ascii="Arial" w:hAnsi="Arial" w:cs="Arial"/>
          <w:b/>
          <w:color w:val="000000"/>
        </w:rPr>
        <w:t>wsparcia osób młodych pracujących</w:t>
      </w:r>
      <w:r w:rsidRPr="00E857F2">
        <w:rPr>
          <w:rFonts w:ascii="Arial" w:hAnsi="Arial" w:cs="Arial"/>
          <w:b/>
          <w:color w:val="000000"/>
        </w:rPr>
        <w:t>.</w:t>
      </w:r>
      <w:r w:rsidR="00E857F2">
        <w:rPr>
          <w:rFonts w:ascii="Arial" w:hAnsi="Arial" w:cs="Arial"/>
          <w:b/>
          <w:color w:val="000000"/>
        </w:rPr>
        <w:t xml:space="preserve"> </w:t>
      </w:r>
    </w:p>
    <w:p w:rsidR="004F2D27" w:rsidRPr="00F24D94" w:rsidRDefault="00F24D94" w:rsidP="00677FA7">
      <w:pPr>
        <w:spacing w:after="120"/>
        <w:jc w:val="both"/>
        <w:rPr>
          <w:rFonts w:ascii="Arial" w:hAnsi="Arial" w:cs="Arial"/>
          <w:color w:val="000000"/>
        </w:rPr>
      </w:pPr>
      <w:r w:rsidRPr="00F24D94">
        <w:rPr>
          <w:rFonts w:ascii="Arial" w:hAnsi="Arial" w:cs="Arial"/>
          <w:color w:val="000000"/>
        </w:rPr>
        <w:t>M</w:t>
      </w:r>
      <w:r w:rsidR="00677FA7" w:rsidRPr="00F24D94">
        <w:rPr>
          <w:rFonts w:ascii="Arial" w:hAnsi="Arial" w:cs="Arial"/>
          <w:color w:val="000000"/>
        </w:rPr>
        <w:t xml:space="preserve">etodologia musi zostać tak opracowana, aby </w:t>
      </w:r>
      <w:r w:rsidR="004F2D27" w:rsidRPr="00F24D94">
        <w:rPr>
          <w:rFonts w:ascii="Arial" w:hAnsi="Arial" w:cs="Arial"/>
          <w:color w:val="000000"/>
        </w:rPr>
        <w:t>wskaz</w:t>
      </w:r>
      <w:r w:rsidR="00677FA7" w:rsidRPr="00F24D94">
        <w:rPr>
          <w:rFonts w:ascii="Arial" w:hAnsi="Arial" w:cs="Arial"/>
          <w:color w:val="000000"/>
        </w:rPr>
        <w:t xml:space="preserve">ywała </w:t>
      </w:r>
      <w:r w:rsidR="004F2D27" w:rsidRPr="00F24D94">
        <w:rPr>
          <w:rFonts w:ascii="Arial" w:hAnsi="Arial" w:cs="Arial"/>
          <w:color w:val="000000"/>
        </w:rPr>
        <w:t xml:space="preserve">na to, że przyjęte stawki </w:t>
      </w:r>
      <w:r w:rsidR="00B34211" w:rsidRPr="00F24D94">
        <w:rPr>
          <w:rFonts w:ascii="Arial" w:hAnsi="Arial" w:cs="Arial"/>
          <w:color w:val="000000"/>
        </w:rPr>
        <w:t xml:space="preserve">jednostkowe </w:t>
      </w:r>
      <w:r w:rsidR="004F2D27" w:rsidRPr="00F24D94">
        <w:rPr>
          <w:rFonts w:ascii="Arial" w:hAnsi="Arial" w:cs="Arial"/>
          <w:color w:val="000000"/>
        </w:rPr>
        <w:t>są:</w:t>
      </w:r>
    </w:p>
    <w:p w:rsidR="00B34211" w:rsidRDefault="00677FA7" w:rsidP="00B34211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 w:rsidRPr="00B34211">
        <w:rPr>
          <w:rFonts w:ascii="Arial" w:hAnsi="Arial" w:cs="Arial"/>
          <w:color w:val="000000"/>
        </w:rPr>
        <w:t>u</w:t>
      </w:r>
      <w:r w:rsidR="004F2D27" w:rsidRPr="00B34211">
        <w:rPr>
          <w:rFonts w:ascii="Arial" w:hAnsi="Arial" w:cs="Arial"/>
          <w:color w:val="000000"/>
        </w:rPr>
        <w:t>czciwe</w:t>
      </w:r>
      <w:r w:rsidR="004660E3" w:rsidRPr="00B34211">
        <w:rPr>
          <w:rFonts w:ascii="Arial" w:hAnsi="Arial" w:cs="Arial"/>
          <w:color w:val="000000"/>
        </w:rPr>
        <w:t>/rzetelne</w:t>
      </w:r>
      <w:r w:rsidR="004F2D27" w:rsidRPr="00B34211">
        <w:rPr>
          <w:rFonts w:ascii="Arial" w:hAnsi="Arial" w:cs="Arial"/>
          <w:color w:val="000000"/>
        </w:rPr>
        <w:t xml:space="preserve"> – obliczenie musi być uzasadnione</w:t>
      </w:r>
      <w:r w:rsidR="00E857F2">
        <w:rPr>
          <w:rFonts w:ascii="Arial" w:hAnsi="Arial" w:cs="Arial"/>
          <w:color w:val="000000"/>
        </w:rPr>
        <w:t xml:space="preserve"> i </w:t>
      </w:r>
      <w:r w:rsidR="004F2D27" w:rsidRPr="00B34211">
        <w:rPr>
          <w:rFonts w:ascii="Arial" w:hAnsi="Arial" w:cs="Arial"/>
          <w:color w:val="000000"/>
        </w:rPr>
        <w:t>odnos</w:t>
      </w:r>
      <w:r w:rsidR="00E857F2">
        <w:rPr>
          <w:rFonts w:ascii="Arial" w:hAnsi="Arial" w:cs="Arial"/>
          <w:color w:val="000000"/>
        </w:rPr>
        <w:t xml:space="preserve">ić </w:t>
      </w:r>
      <w:r w:rsidR="004F2D27" w:rsidRPr="00B34211">
        <w:rPr>
          <w:rFonts w:ascii="Arial" w:hAnsi="Arial" w:cs="Arial"/>
          <w:color w:val="000000"/>
        </w:rPr>
        <w:t>się do rzeczywiście istniejących kategorii kosztów i stos</w:t>
      </w:r>
      <w:r w:rsidR="00B34211" w:rsidRPr="00B34211">
        <w:rPr>
          <w:rFonts w:ascii="Arial" w:hAnsi="Arial" w:cs="Arial"/>
          <w:color w:val="000000"/>
        </w:rPr>
        <w:t>owanych do ich rozliczenia kwot</w:t>
      </w:r>
      <w:r w:rsidR="00E857F2">
        <w:rPr>
          <w:rFonts w:ascii="Arial" w:hAnsi="Arial" w:cs="Arial"/>
          <w:color w:val="000000"/>
        </w:rPr>
        <w:t>;</w:t>
      </w:r>
      <w:r w:rsidR="004F2D27" w:rsidRPr="00B34211">
        <w:rPr>
          <w:rFonts w:ascii="Arial" w:hAnsi="Arial" w:cs="Arial"/>
          <w:color w:val="000000"/>
        </w:rPr>
        <w:t xml:space="preserve"> </w:t>
      </w:r>
      <w:r w:rsidR="00B34211" w:rsidRPr="00B34211">
        <w:rPr>
          <w:rFonts w:ascii="Arial" w:hAnsi="Arial" w:cs="Arial"/>
          <w:color w:val="000000"/>
        </w:rPr>
        <w:t>p</w:t>
      </w:r>
      <w:r w:rsidR="004F2D27" w:rsidRPr="00B34211">
        <w:rPr>
          <w:rFonts w:ascii="Arial" w:hAnsi="Arial" w:cs="Arial"/>
          <w:color w:val="000000"/>
        </w:rPr>
        <w:t>rzyjęte metody obliczeń powinny być dostosowane do potrzeb i warunków r</w:t>
      </w:r>
      <w:r w:rsidR="00B34211" w:rsidRPr="00B34211">
        <w:rPr>
          <w:rFonts w:ascii="Arial" w:hAnsi="Arial" w:cs="Arial"/>
          <w:color w:val="000000"/>
        </w:rPr>
        <w:t>ealizacji konkretnych projektów;</w:t>
      </w:r>
    </w:p>
    <w:p w:rsidR="00B34211" w:rsidRDefault="00B34211" w:rsidP="00B34211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 w:rsidRPr="00B34211">
        <w:rPr>
          <w:rFonts w:ascii="Arial" w:hAnsi="Arial" w:cs="Arial"/>
          <w:color w:val="000000"/>
        </w:rPr>
        <w:t>s</w:t>
      </w:r>
      <w:r w:rsidR="004F2D27" w:rsidRPr="00B34211">
        <w:rPr>
          <w:rFonts w:ascii="Arial" w:hAnsi="Arial" w:cs="Arial"/>
          <w:color w:val="000000"/>
        </w:rPr>
        <w:t>prawiedliwe –</w:t>
      </w:r>
      <w:r w:rsidRPr="00B34211">
        <w:rPr>
          <w:rFonts w:ascii="Arial" w:hAnsi="Arial" w:cs="Arial"/>
          <w:color w:val="000000"/>
        </w:rPr>
        <w:t xml:space="preserve"> </w:t>
      </w:r>
      <w:r w:rsidR="004F2D27" w:rsidRPr="00B34211">
        <w:rPr>
          <w:rFonts w:ascii="Arial" w:hAnsi="Arial" w:cs="Arial"/>
          <w:color w:val="000000"/>
        </w:rPr>
        <w:t xml:space="preserve">metodologia nie </w:t>
      </w:r>
      <w:r w:rsidRPr="00B34211">
        <w:rPr>
          <w:rFonts w:ascii="Arial" w:hAnsi="Arial" w:cs="Arial"/>
          <w:color w:val="000000"/>
        </w:rPr>
        <w:t>może f</w:t>
      </w:r>
      <w:r w:rsidR="004F2D27" w:rsidRPr="00B34211">
        <w:rPr>
          <w:rFonts w:ascii="Arial" w:hAnsi="Arial" w:cs="Arial"/>
          <w:color w:val="000000"/>
        </w:rPr>
        <w:t>aworyz</w:t>
      </w:r>
      <w:r w:rsidRPr="00B34211">
        <w:rPr>
          <w:rFonts w:ascii="Arial" w:hAnsi="Arial" w:cs="Arial"/>
          <w:color w:val="000000"/>
        </w:rPr>
        <w:t xml:space="preserve">ować </w:t>
      </w:r>
      <w:r w:rsidR="004F2D27" w:rsidRPr="00B34211">
        <w:rPr>
          <w:rFonts w:ascii="Arial" w:hAnsi="Arial" w:cs="Arial"/>
          <w:color w:val="000000"/>
        </w:rPr>
        <w:t>beneficjentów lub operacji</w:t>
      </w:r>
      <w:r w:rsidR="00E857F2">
        <w:rPr>
          <w:rFonts w:ascii="Arial" w:hAnsi="Arial" w:cs="Arial"/>
          <w:color w:val="000000"/>
        </w:rPr>
        <w:t>;</w:t>
      </w:r>
      <w:r w:rsidRPr="00B3421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="004F2D27" w:rsidRPr="00B34211">
        <w:rPr>
          <w:rFonts w:ascii="Arial" w:hAnsi="Arial" w:cs="Arial"/>
          <w:color w:val="000000"/>
        </w:rPr>
        <w:t>blicz</w:t>
      </w:r>
      <w:r w:rsidR="00E857F2">
        <w:rPr>
          <w:rFonts w:ascii="Arial" w:hAnsi="Arial" w:cs="Arial"/>
          <w:color w:val="000000"/>
        </w:rPr>
        <w:t>e</w:t>
      </w:r>
      <w:r w:rsidR="004F2D27" w:rsidRPr="00B34211">
        <w:rPr>
          <w:rFonts w:ascii="Arial" w:hAnsi="Arial" w:cs="Arial"/>
          <w:color w:val="000000"/>
        </w:rPr>
        <w:t xml:space="preserve">nie </w:t>
      </w:r>
      <w:r>
        <w:rPr>
          <w:rFonts w:ascii="Arial" w:hAnsi="Arial" w:cs="Arial"/>
          <w:color w:val="000000"/>
        </w:rPr>
        <w:t xml:space="preserve">stawki </w:t>
      </w:r>
      <w:r w:rsidR="004F2D27" w:rsidRPr="00B34211">
        <w:rPr>
          <w:rFonts w:ascii="Arial" w:hAnsi="Arial" w:cs="Arial"/>
          <w:color w:val="000000"/>
        </w:rPr>
        <w:t>jednostkow</w:t>
      </w:r>
      <w:r>
        <w:rPr>
          <w:rFonts w:ascii="Arial" w:hAnsi="Arial" w:cs="Arial"/>
          <w:color w:val="000000"/>
        </w:rPr>
        <w:t xml:space="preserve">ej </w:t>
      </w:r>
      <w:r w:rsidR="004F2D27" w:rsidRPr="00B34211">
        <w:rPr>
          <w:rFonts w:ascii="Arial" w:hAnsi="Arial" w:cs="Arial"/>
          <w:color w:val="000000"/>
        </w:rPr>
        <w:t>musi zapewnić równe traktowanie beneficjentów i/lub operacji</w:t>
      </w:r>
      <w:r>
        <w:rPr>
          <w:rFonts w:ascii="Arial" w:hAnsi="Arial" w:cs="Arial"/>
          <w:color w:val="000000"/>
        </w:rPr>
        <w:t>;</w:t>
      </w:r>
      <w:r w:rsidR="004F2D27" w:rsidRPr="00B34211">
        <w:rPr>
          <w:rFonts w:ascii="Arial" w:hAnsi="Arial" w:cs="Arial"/>
          <w:color w:val="000000"/>
        </w:rPr>
        <w:t xml:space="preserve"> </w:t>
      </w:r>
    </w:p>
    <w:p w:rsidR="004F2D27" w:rsidRPr="00B34211" w:rsidRDefault="00B34211" w:rsidP="00B34211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4F2D27" w:rsidRPr="00B34211">
        <w:rPr>
          <w:rFonts w:ascii="Arial" w:hAnsi="Arial" w:cs="Arial"/>
          <w:color w:val="000000"/>
        </w:rPr>
        <w:t>eryfikowalne – instytucja zarządzająca programem musi być w stanie wykazać, na jakiej podstawie ustal</w:t>
      </w:r>
      <w:r>
        <w:rPr>
          <w:rFonts w:ascii="Arial" w:hAnsi="Arial" w:cs="Arial"/>
          <w:color w:val="000000"/>
        </w:rPr>
        <w:t>iła stawkę jednostkową</w:t>
      </w:r>
      <w:r w:rsidR="00E857F2">
        <w:rPr>
          <w:rFonts w:ascii="Arial" w:hAnsi="Arial" w:cs="Arial"/>
          <w:color w:val="000000"/>
        </w:rPr>
        <w:t>; k</w:t>
      </w:r>
      <w:r w:rsidR="004F2D27" w:rsidRPr="00B34211">
        <w:rPr>
          <w:rFonts w:ascii="Arial" w:hAnsi="Arial" w:cs="Arial"/>
          <w:color w:val="000000"/>
        </w:rPr>
        <w:t xml:space="preserve">luczowym elementem jest zapewnienie zgodności </w:t>
      </w:r>
      <w:r w:rsidR="00E857F2">
        <w:rPr>
          <w:rFonts w:ascii="Arial" w:hAnsi="Arial" w:cs="Arial"/>
          <w:color w:val="000000"/>
        </w:rPr>
        <w:br/>
      </w:r>
      <w:r w:rsidR="004F2D27" w:rsidRPr="00B34211">
        <w:rPr>
          <w:rFonts w:ascii="Arial" w:hAnsi="Arial" w:cs="Arial"/>
          <w:color w:val="000000"/>
        </w:rPr>
        <w:t>z zasadą należytego zarządzania finansami.</w:t>
      </w:r>
    </w:p>
    <w:p w:rsidR="00F3292A" w:rsidRDefault="00560C49" w:rsidP="00E857F2">
      <w:pPr>
        <w:spacing w:after="120"/>
        <w:jc w:val="both"/>
        <w:rPr>
          <w:rFonts w:ascii="Arial" w:hAnsi="Arial" w:cs="Arial"/>
          <w:color w:val="000000"/>
        </w:rPr>
      </w:pPr>
      <w:r w:rsidRPr="006114D3">
        <w:rPr>
          <w:rFonts w:ascii="Arial" w:hAnsi="Arial" w:cs="Arial"/>
          <w:color w:val="000000"/>
        </w:rPr>
        <w:t xml:space="preserve">Metodologia jest narzędziem niezbędnym do rzetelnego ustalenia wysokości </w:t>
      </w:r>
      <w:r w:rsidR="00E857F2">
        <w:rPr>
          <w:rFonts w:ascii="Arial" w:hAnsi="Arial" w:cs="Arial"/>
          <w:color w:val="000000"/>
        </w:rPr>
        <w:t xml:space="preserve">stawek </w:t>
      </w:r>
      <w:r w:rsidRPr="006114D3">
        <w:rPr>
          <w:rFonts w:ascii="Arial" w:hAnsi="Arial" w:cs="Arial"/>
          <w:color w:val="000000"/>
        </w:rPr>
        <w:t xml:space="preserve">jednostkowych </w:t>
      </w:r>
      <w:r w:rsidR="004903E4" w:rsidRPr="006114D3">
        <w:rPr>
          <w:rFonts w:ascii="Arial" w:hAnsi="Arial" w:cs="Arial"/>
          <w:color w:val="000000"/>
        </w:rPr>
        <w:t>zgodn</w:t>
      </w:r>
      <w:r w:rsidR="00A6446D">
        <w:rPr>
          <w:rFonts w:ascii="Arial" w:hAnsi="Arial" w:cs="Arial"/>
          <w:color w:val="000000"/>
        </w:rPr>
        <w:t>ego</w:t>
      </w:r>
      <w:r w:rsidR="004903E4" w:rsidRPr="006114D3">
        <w:rPr>
          <w:rFonts w:ascii="Arial" w:hAnsi="Arial" w:cs="Arial"/>
          <w:color w:val="000000"/>
        </w:rPr>
        <w:t xml:space="preserve"> z </w:t>
      </w:r>
      <w:r w:rsidR="004660E3" w:rsidRPr="006114D3">
        <w:rPr>
          <w:rFonts w:ascii="Arial" w:hAnsi="Arial" w:cs="Arial"/>
          <w:color w:val="000000"/>
        </w:rPr>
        <w:t>pod</w:t>
      </w:r>
      <w:r w:rsidR="004903E4" w:rsidRPr="006114D3">
        <w:rPr>
          <w:rFonts w:ascii="Arial" w:hAnsi="Arial" w:cs="Arial"/>
          <w:color w:val="000000"/>
        </w:rPr>
        <w:t>rozdział</w:t>
      </w:r>
      <w:r w:rsidR="00E857F2">
        <w:rPr>
          <w:rFonts w:ascii="Arial" w:hAnsi="Arial" w:cs="Arial"/>
          <w:color w:val="000000"/>
        </w:rPr>
        <w:t xml:space="preserve">em </w:t>
      </w:r>
      <w:r w:rsidR="004660E3" w:rsidRPr="006114D3">
        <w:rPr>
          <w:rFonts w:ascii="Arial" w:hAnsi="Arial" w:cs="Arial"/>
          <w:color w:val="000000"/>
        </w:rPr>
        <w:t>6.6 oraz sekcj</w:t>
      </w:r>
      <w:r w:rsidR="00E857F2">
        <w:rPr>
          <w:rFonts w:ascii="Arial" w:hAnsi="Arial" w:cs="Arial"/>
          <w:color w:val="000000"/>
        </w:rPr>
        <w:t>ą</w:t>
      </w:r>
      <w:r w:rsidR="004660E3" w:rsidRPr="006114D3">
        <w:rPr>
          <w:rFonts w:ascii="Arial" w:hAnsi="Arial" w:cs="Arial"/>
          <w:color w:val="000000"/>
        </w:rPr>
        <w:t xml:space="preserve"> </w:t>
      </w:r>
      <w:r w:rsidR="004903E4" w:rsidRPr="006114D3">
        <w:rPr>
          <w:rFonts w:ascii="Arial" w:hAnsi="Arial" w:cs="Arial"/>
          <w:color w:val="000000"/>
        </w:rPr>
        <w:t>8.5</w:t>
      </w:r>
      <w:r w:rsidRPr="006114D3">
        <w:rPr>
          <w:rFonts w:ascii="Arial" w:hAnsi="Arial" w:cs="Arial"/>
          <w:color w:val="000000"/>
        </w:rPr>
        <w:t xml:space="preserve">.1 „Stawki jednostkowe” </w:t>
      </w:r>
      <w:r w:rsidRPr="006114D3">
        <w:rPr>
          <w:rFonts w:ascii="Arial" w:hAnsi="Arial" w:cs="Arial"/>
          <w:i/>
          <w:color w:val="000000"/>
        </w:rPr>
        <w:t>Wytycznych w zakresie kwalifikowalności wydatków w ramach Europejskiego Funduszu Rozwoju Regionalnego, Europejskiego Funduszu Społecznego oraz Funduszu Spójności na lata 2014 – 2020</w:t>
      </w:r>
      <w:r w:rsidRPr="006114D3">
        <w:rPr>
          <w:rFonts w:ascii="Arial" w:hAnsi="Arial" w:cs="Arial"/>
          <w:color w:val="000000"/>
        </w:rPr>
        <w:t xml:space="preserve">. </w:t>
      </w:r>
      <w:r w:rsidR="00F36C94" w:rsidRPr="006114D3">
        <w:rPr>
          <w:rFonts w:ascii="Arial" w:hAnsi="Arial" w:cs="Arial"/>
          <w:color w:val="000000"/>
        </w:rPr>
        <w:t xml:space="preserve">W oparciu </w:t>
      </w:r>
      <w:r w:rsidR="007E1E7A">
        <w:rPr>
          <w:rFonts w:ascii="Arial" w:hAnsi="Arial" w:cs="Arial"/>
          <w:color w:val="000000"/>
        </w:rPr>
        <w:br/>
      </w:r>
      <w:r w:rsidR="00F36C94" w:rsidRPr="006114D3">
        <w:rPr>
          <w:rFonts w:ascii="Arial" w:hAnsi="Arial" w:cs="Arial"/>
          <w:color w:val="000000"/>
        </w:rPr>
        <w:t xml:space="preserve">o metodologię, stawki jednostkowe mogą być zastosowane w projekcie bez konieczności weryfikacji dokumentów księgowych. </w:t>
      </w:r>
    </w:p>
    <w:p w:rsidR="007E1E7A" w:rsidRDefault="00967105" w:rsidP="007E1E7A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Uwzględniając korzyści płynące ze stosowania uproszczonych metod rozliczania wydatków Instytucja Zarządzająca Programem </w:t>
      </w:r>
      <w:r w:rsidRPr="00967105">
        <w:rPr>
          <w:rFonts w:ascii="Arial" w:hAnsi="Arial" w:cs="Arial"/>
          <w:color w:val="000000"/>
        </w:rPr>
        <w:t>Operacyjn</w:t>
      </w:r>
      <w:r>
        <w:rPr>
          <w:rFonts w:ascii="Arial" w:hAnsi="Arial" w:cs="Arial"/>
          <w:color w:val="000000"/>
        </w:rPr>
        <w:t xml:space="preserve">ym </w:t>
      </w:r>
      <w:r w:rsidRPr="00967105">
        <w:rPr>
          <w:rFonts w:ascii="Arial" w:hAnsi="Arial" w:cs="Arial"/>
          <w:color w:val="000000"/>
        </w:rPr>
        <w:t>Wiedza Edukacja Rozwój (PO WER)</w:t>
      </w:r>
      <w:r>
        <w:rPr>
          <w:rFonts w:ascii="Arial" w:hAnsi="Arial" w:cs="Arial"/>
          <w:color w:val="000000"/>
        </w:rPr>
        <w:t xml:space="preserve"> podjęła decyzję </w:t>
      </w:r>
      <w:r>
        <w:rPr>
          <w:rFonts w:ascii="Arial" w:hAnsi="Arial" w:cs="Arial"/>
          <w:color w:val="000000"/>
        </w:rPr>
        <w:br/>
        <w:t xml:space="preserve">o opracowaniu </w:t>
      </w:r>
      <w:r w:rsidR="00CD5A63">
        <w:rPr>
          <w:rFonts w:ascii="Arial" w:hAnsi="Arial" w:cs="Arial"/>
          <w:color w:val="000000"/>
        </w:rPr>
        <w:t xml:space="preserve">w ramach PO WER </w:t>
      </w:r>
      <w:r>
        <w:rPr>
          <w:rFonts w:ascii="Arial" w:hAnsi="Arial" w:cs="Arial"/>
          <w:color w:val="000000"/>
        </w:rPr>
        <w:t xml:space="preserve">stawki jednostkowej aktywizacji zawodowej </w:t>
      </w:r>
      <w:r w:rsidR="00154D84">
        <w:rPr>
          <w:rFonts w:ascii="Arial" w:hAnsi="Arial" w:cs="Arial"/>
          <w:color w:val="000000"/>
        </w:rPr>
        <w:t xml:space="preserve">niepracujących </w:t>
      </w:r>
      <w:r>
        <w:rPr>
          <w:rFonts w:ascii="Arial" w:hAnsi="Arial" w:cs="Arial"/>
          <w:color w:val="000000"/>
        </w:rPr>
        <w:t>osób młodych</w:t>
      </w:r>
      <w:r w:rsidR="00CD5A63">
        <w:rPr>
          <w:rFonts w:ascii="Arial" w:hAnsi="Arial" w:cs="Arial"/>
          <w:color w:val="000000"/>
        </w:rPr>
        <w:t xml:space="preserve"> oraz stawki jednostkowej </w:t>
      </w:r>
      <w:r w:rsidR="002218F0" w:rsidRPr="00D76C67">
        <w:rPr>
          <w:rFonts w:ascii="Arial" w:hAnsi="Arial" w:cs="Arial"/>
          <w:color w:val="000000"/>
        </w:rPr>
        <w:t>wsparcia osób młodych pracujących</w:t>
      </w:r>
      <w:r w:rsidR="00CD5A63">
        <w:rPr>
          <w:rFonts w:ascii="Arial" w:hAnsi="Arial" w:cs="Arial"/>
          <w:color w:val="000000"/>
        </w:rPr>
        <w:t>.</w:t>
      </w:r>
      <w:r w:rsidR="00CD5A63" w:rsidRPr="00CD5A63">
        <w:rPr>
          <w:rFonts w:ascii="Arial" w:hAnsi="Arial" w:cs="Arial"/>
          <w:color w:val="000000"/>
        </w:rPr>
        <w:t xml:space="preserve"> </w:t>
      </w:r>
      <w:r w:rsidR="007E1E7A" w:rsidRPr="007E1E7A">
        <w:rPr>
          <w:rFonts w:ascii="Arial" w:hAnsi="Arial" w:cs="Arial"/>
          <w:color w:val="000000"/>
        </w:rPr>
        <w:t>Rozliczenie koszt</w:t>
      </w:r>
      <w:r w:rsidR="00CD5A63">
        <w:rPr>
          <w:rFonts w:ascii="Arial" w:hAnsi="Arial" w:cs="Arial"/>
          <w:color w:val="000000"/>
        </w:rPr>
        <w:t>ów</w:t>
      </w:r>
      <w:r w:rsidR="007E1E7A" w:rsidRPr="007E1E7A">
        <w:rPr>
          <w:rFonts w:ascii="Arial" w:hAnsi="Arial" w:cs="Arial"/>
          <w:color w:val="000000"/>
        </w:rPr>
        <w:t xml:space="preserve"> </w:t>
      </w:r>
      <w:r w:rsidR="00CD5A63">
        <w:rPr>
          <w:rFonts w:ascii="Arial" w:hAnsi="Arial" w:cs="Arial"/>
          <w:color w:val="000000"/>
        </w:rPr>
        <w:t xml:space="preserve">wsparcia uczestników </w:t>
      </w:r>
      <w:r w:rsidR="007E1E7A" w:rsidRPr="007E1E7A">
        <w:rPr>
          <w:rFonts w:ascii="Arial" w:hAnsi="Arial" w:cs="Arial"/>
          <w:color w:val="000000"/>
        </w:rPr>
        <w:t>za pomocą staw</w:t>
      </w:r>
      <w:r w:rsidR="00CD5A63">
        <w:rPr>
          <w:rFonts w:ascii="Arial" w:hAnsi="Arial" w:cs="Arial"/>
          <w:color w:val="000000"/>
        </w:rPr>
        <w:t xml:space="preserve">ek </w:t>
      </w:r>
      <w:r w:rsidR="007E1E7A" w:rsidRPr="007E1E7A">
        <w:rPr>
          <w:rFonts w:ascii="Arial" w:hAnsi="Arial" w:cs="Arial"/>
          <w:color w:val="000000"/>
        </w:rPr>
        <w:t>jednostkow</w:t>
      </w:r>
      <w:r w:rsidR="00CD5A63">
        <w:rPr>
          <w:rFonts w:ascii="Arial" w:hAnsi="Arial" w:cs="Arial"/>
          <w:color w:val="000000"/>
        </w:rPr>
        <w:t xml:space="preserve">ych </w:t>
      </w:r>
      <w:r w:rsidR="007E1E7A" w:rsidRPr="007E1E7A">
        <w:rPr>
          <w:rFonts w:ascii="Arial" w:hAnsi="Arial" w:cs="Arial"/>
          <w:color w:val="000000"/>
        </w:rPr>
        <w:t>jest uzasadnione faktem kierowania do jednej osoby licznych działań aktywizujących t</w:t>
      </w:r>
      <w:r w:rsidR="00F67732">
        <w:rPr>
          <w:rFonts w:ascii="Arial" w:hAnsi="Arial" w:cs="Arial"/>
          <w:color w:val="000000"/>
        </w:rPr>
        <w:t>ę</w:t>
      </w:r>
      <w:r w:rsidR="007E1E7A" w:rsidRPr="007E1E7A">
        <w:rPr>
          <w:rFonts w:ascii="Arial" w:hAnsi="Arial" w:cs="Arial"/>
          <w:color w:val="000000"/>
        </w:rPr>
        <w:t xml:space="preserve"> osob</w:t>
      </w:r>
      <w:r w:rsidR="00F67732">
        <w:rPr>
          <w:rFonts w:ascii="Arial" w:hAnsi="Arial" w:cs="Arial"/>
          <w:color w:val="000000"/>
        </w:rPr>
        <w:t>ę</w:t>
      </w:r>
      <w:r w:rsidR="007E1E7A" w:rsidRPr="007E1E7A">
        <w:rPr>
          <w:rFonts w:ascii="Arial" w:hAnsi="Arial" w:cs="Arial"/>
          <w:color w:val="000000"/>
        </w:rPr>
        <w:t xml:space="preserve"> na rynku pracy</w:t>
      </w:r>
      <w:r w:rsidR="00F67732">
        <w:rPr>
          <w:rFonts w:ascii="Arial" w:hAnsi="Arial" w:cs="Arial"/>
          <w:color w:val="000000"/>
        </w:rPr>
        <w:t xml:space="preserve"> lub </w:t>
      </w:r>
      <w:r w:rsidR="00CD5A63">
        <w:rPr>
          <w:rFonts w:ascii="Arial" w:hAnsi="Arial" w:cs="Arial"/>
          <w:color w:val="000000"/>
        </w:rPr>
        <w:t>mających na celu poprawę jej sytuacji na rynku pracy</w:t>
      </w:r>
      <w:r w:rsidR="007E1E7A" w:rsidRPr="007E1E7A">
        <w:rPr>
          <w:rFonts w:ascii="Arial" w:hAnsi="Arial" w:cs="Arial"/>
          <w:color w:val="000000"/>
        </w:rPr>
        <w:t xml:space="preserve"> oraz wielością poszczególnych kosztów pojedynczej usługi. Z uwagi na powyższe, zasadn</w:t>
      </w:r>
      <w:r w:rsidR="000F6E30">
        <w:rPr>
          <w:rFonts w:ascii="Arial" w:hAnsi="Arial" w:cs="Arial"/>
          <w:color w:val="000000"/>
        </w:rPr>
        <w:t>e</w:t>
      </w:r>
      <w:r w:rsidR="007E1E7A" w:rsidRPr="007E1E7A">
        <w:rPr>
          <w:rFonts w:ascii="Arial" w:hAnsi="Arial" w:cs="Arial"/>
          <w:color w:val="000000"/>
        </w:rPr>
        <w:t xml:space="preserve"> jest </w:t>
      </w:r>
      <w:r w:rsidR="003A05AC">
        <w:rPr>
          <w:rFonts w:ascii="Arial" w:hAnsi="Arial" w:cs="Arial"/>
          <w:color w:val="000000"/>
        </w:rPr>
        <w:t xml:space="preserve">wprowadzenie </w:t>
      </w:r>
      <w:r w:rsidR="007E1E7A" w:rsidRPr="007E1E7A">
        <w:rPr>
          <w:rFonts w:ascii="Arial" w:hAnsi="Arial" w:cs="Arial"/>
          <w:color w:val="000000"/>
        </w:rPr>
        <w:t>staw</w:t>
      </w:r>
      <w:r w:rsidR="00CD5A63">
        <w:rPr>
          <w:rFonts w:ascii="Arial" w:hAnsi="Arial" w:cs="Arial"/>
          <w:color w:val="000000"/>
        </w:rPr>
        <w:t xml:space="preserve">ek </w:t>
      </w:r>
      <w:r w:rsidR="007E1E7A" w:rsidRPr="007E1E7A">
        <w:rPr>
          <w:rFonts w:ascii="Arial" w:hAnsi="Arial" w:cs="Arial"/>
          <w:color w:val="000000"/>
        </w:rPr>
        <w:t>jednostkow</w:t>
      </w:r>
      <w:r w:rsidR="00CD5A63">
        <w:rPr>
          <w:rFonts w:ascii="Arial" w:hAnsi="Arial" w:cs="Arial"/>
          <w:color w:val="000000"/>
        </w:rPr>
        <w:t>ych</w:t>
      </w:r>
      <w:r w:rsidR="007E1E7A" w:rsidRPr="007E1E7A">
        <w:rPr>
          <w:rFonts w:ascii="Arial" w:hAnsi="Arial" w:cs="Arial"/>
          <w:color w:val="000000"/>
        </w:rPr>
        <w:t xml:space="preserve"> w celu </w:t>
      </w:r>
      <w:r w:rsidR="003A05AC">
        <w:rPr>
          <w:rFonts w:ascii="Arial" w:hAnsi="Arial" w:cs="Arial"/>
          <w:color w:val="000000"/>
        </w:rPr>
        <w:t xml:space="preserve">koncentracji wysiłków beneficjenta </w:t>
      </w:r>
      <w:r w:rsidR="00154D84">
        <w:rPr>
          <w:rFonts w:ascii="Arial" w:hAnsi="Arial" w:cs="Arial"/>
          <w:color w:val="000000"/>
        </w:rPr>
        <w:br/>
      </w:r>
      <w:r w:rsidR="003A05AC">
        <w:rPr>
          <w:rFonts w:ascii="Arial" w:hAnsi="Arial" w:cs="Arial"/>
          <w:color w:val="000000"/>
        </w:rPr>
        <w:t xml:space="preserve">w ramach projektu na osiąganiu </w:t>
      </w:r>
      <w:r w:rsidR="000F6E30">
        <w:rPr>
          <w:rFonts w:ascii="Arial" w:hAnsi="Arial" w:cs="Arial"/>
          <w:color w:val="000000"/>
        </w:rPr>
        <w:t xml:space="preserve">jego </w:t>
      </w:r>
      <w:r w:rsidR="003A05AC">
        <w:rPr>
          <w:rFonts w:ascii="Arial" w:hAnsi="Arial" w:cs="Arial"/>
          <w:color w:val="000000"/>
        </w:rPr>
        <w:t xml:space="preserve">rezultatów oraz </w:t>
      </w:r>
      <w:r w:rsidR="007E1E7A" w:rsidRPr="007E1E7A">
        <w:rPr>
          <w:rFonts w:ascii="Arial" w:hAnsi="Arial" w:cs="Arial"/>
          <w:color w:val="000000"/>
        </w:rPr>
        <w:t xml:space="preserve">ułatwienia </w:t>
      </w:r>
      <w:r w:rsidR="003A05AC">
        <w:rPr>
          <w:rFonts w:ascii="Arial" w:hAnsi="Arial" w:cs="Arial"/>
          <w:color w:val="000000"/>
        </w:rPr>
        <w:t xml:space="preserve">mu </w:t>
      </w:r>
      <w:r w:rsidR="007E1E7A" w:rsidRPr="007E1E7A">
        <w:rPr>
          <w:rFonts w:ascii="Arial" w:hAnsi="Arial" w:cs="Arial"/>
          <w:color w:val="000000"/>
        </w:rPr>
        <w:t>rozliczania kosztów wsparcia</w:t>
      </w:r>
      <w:r w:rsidR="003A05AC">
        <w:rPr>
          <w:rFonts w:ascii="Arial" w:hAnsi="Arial" w:cs="Arial"/>
          <w:color w:val="000000"/>
        </w:rPr>
        <w:t>.</w:t>
      </w:r>
      <w:r w:rsidR="00154D84">
        <w:rPr>
          <w:rFonts w:ascii="Arial" w:hAnsi="Arial" w:cs="Arial"/>
          <w:color w:val="000000"/>
        </w:rPr>
        <w:br/>
      </w:r>
      <w:r w:rsidR="00F67732">
        <w:rPr>
          <w:rFonts w:ascii="Arial" w:hAnsi="Arial" w:cs="Arial"/>
          <w:color w:val="000000"/>
        </w:rPr>
        <w:t xml:space="preserve"> </w:t>
      </w:r>
      <w:r w:rsidR="003A05AC">
        <w:rPr>
          <w:rFonts w:ascii="Arial" w:hAnsi="Arial" w:cs="Arial"/>
          <w:color w:val="000000"/>
        </w:rPr>
        <w:t>Z drugiej strony</w:t>
      </w:r>
      <w:r w:rsidR="000F6E30">
        <w:rPr>
          <w:rFonts w:ascii="Arial" w:hAnsi="Arial" w:cs="Arial"/>
          <w:color w:val="000000"/>
        </w:rPr>
        <w:t>,</w:t>
      </w:r>
      <w:r w:rsidR="003A05AC">
        <w:rPr>
          <w:rFonts w:ascii="Arial" w:hAnsi="Arial" w:cs="Arial"/>
          <w:color w:val="000000"/>
        </w:rPr>
        <w:t xml:space="preserve"> zastosowanie staw</w:t>
      </w:r>
      <w:r w:rsidR="002218F0">
        <w:rPr>
          <w:rFonts w:ascii="Arial" w:hAnsi="Arial" w:cs="Arial"/>
          <w:color w:val="000000"/>
        </w:rPr>
        <w:t>ek</w:t>
      </w:r>
      <w:r w:rsidR="003A05AC">
        <w:rPr>
          <w:rFonts w:ascii="Arial" w:hAnsi="Arial" w:cs="Arial"/>
          <w:color w:val="000000"/>
        </w:rPr>
        <w:t xml:space="preserve"> jednostkow</w:t>
      </w:r>
      <w:r w:rsidR="002218F0">
        <w:rPr>
          <w:rFonts w:ascii="Arial" w:hAnsi="Arial" w:cs="Arial"/>
          <w:color w:val="000000"/>
        </w:rPr>
        <w:t xml:space="preserve">ych </w:t>
      </w:r>
      <w:r w:rsidR="000F6E30">
        <w:rPr>
          <w:rFonts w:ascii="Arial" w:hAnsi="Arial" w:cs="Arial"/>
          <w:color w:val="000000"/>
        </w:rPr>
        <w:t xml:space="preserve">pozwoli </w:t>
      </w:r>
      <w:r w:rsidR="007E1E7A" w:rsidRPr="007E1E7A">
        <w:rPr>
          <w:rFonts w:ascii="Arial" w:hAnsi="Arial" w:cs="Arial"/>
          <w:color w:val="000000"/>
        </w:rPr>
        <w:t>Instytucj</w:t>
      </w:r>
      <w:r w:rsidR="000F6E30">
        <w:rPr>
          <w:rFonts w:ascii="Arial" w:hAnsi="Arial" w:cs="Arial"/>
          <w:color w:val="000000"/>
        </w:rPr>
        <w:t>om</w:t>
      </w:r>
      <w:r w:rsidR="007E1E7A" w:rsidRPr="007E1E7A">
        <w:rPr>
          <w:rFonts w:ascii="Arial" w:hAnsi="Arial" w:cs="Arial"/>
          <w:color w:val="000000"/>
        </w:rPr>
        <w:t xml:space="preserve"> Pośrednicząc</w:t>
      </w:r>
      <w:r w:rsidR="000F6E30">
        <w:rPr>
          <w:rFonts w:ascii="Arial" w:hAnsi="Arial" w:cs="Arial"/>
          <w:color w:val="000000"/>
        </w:rPr>
        <w:t>ym na skupieni</w:t>
      </w:r>
      <w:r w:rsidR="001B0194">
        <w:rPr>
          <w:rFonts w:ascii="Arial" w:hAnsi="Arial" w:cs="Arial"/>
          <w:color w:val="000000"/>
        </w:rPr>
        <w:t>e</w:t>
      </w:r>
      <w:r w:rsidR="000F6E30">
        <w:rPr>
          <w:rFonts w:ascii="Arial" w:hAnsi="Arial" w:cs="Arial"/>
          <w:color w:val="000000"/>
        </w:rPr>
        <w:t xml:space="preserve"> uwagi podczas weryfikacji wniosków o płatność i prowadzeni</w:t>
      </w:r>
      <w:r w:rsidR="001B0194">
        <w:rPr>
          <w:rFonts w:ascii="Arial" w:hAnsi="Arial" w:cs="Arial"/>
          <w:color w:val="000000"/>
        </w:rPr>
        <w:t>a</w:t>
      </w:r>
      <w:r w:rsidR="000F6E30">
        <w:rPr>
          <w:rFonts w:ascii="Arial" w:hAnsi="Arial" w:cs="Arial"/>
          <w:color w:val="000000"/>
        </w:rPr>
        <w:t xml:space="preserve"> kontroli projektu na merytorycznej stronie wsparcia świadczonego na rzecz uczestników projektów.</w:t>
      </w:r>
      <w:r w:rsidR="007E1E7A" w:rsidRPr="007E1E7A">
        <w:rPr>
          <w:rFonts w:ascii="Arial" w:hAnsi="Arial" w:cs="Arial"/>
          <w:color w:val="000000"/>
        </w:rPr>
        <w:t xml:space="preserve"> </w:t>
      </w:r>
    </w:p>
    <w:p w:rsidR="001C18CC" w:rsidRDefault="001C18CC" w:rsidP="007E1E7A">
      <w:pPr>
        <w:spacing w:after="120"/>
        <w:jc w:val="both"/>
        <w:rPr>
          <w:rFonts w:ascii="Arial" w:hAnsi="Arial" w:cs="Arial"/>
          <w:color w:val="000000"/>
        </w:rPr>
      </w:pPr>
    </w:p>
    <w:p w:rsidR="00781C2F" w:rsidRPr="004C1F83" w:rsidRDefault="00781C2F" w:rsidP="00B9642D">
      <w:pPr>
        <w:pStyle w:val="Akapitzlist"/>
        <w:numPr>
          <w:ilvl w:val="0"/>
          <w:numId w:val="3"/>
        </w:numPr>
        <w:spacing w:after="120"/>
        <w:outlineLvl w:val="0"/>
        <w:rPr>
          <w:rFonts w:ascii="Arial" w:hAnsi="Arial" w:cs="Arial"/>
          <w:b/>
        </w:rPr>
      </w:pPr>
      <w:bookmarkStart w:id="18" w:name="_Toc510000080"/>
      <w:bookmarkStart w:id="19" w:name="_Toc510100701"/>
      <w:bookmarkEnd w:id="18"/>
      <w:r w:rsidRPr="004C1F83">
        <w:rPr>
          <w:rFonts w:ascii="Arial" w:hAnsi="Arial" w:cs="Arial"/>
          <w:b/>
        </w:rPr>
        <w:t>Wskazanie typów  operacji, do których zastosowanie ma</w:t>
      </w:r>
      <w:r w:rsidR="002218F0">
        <w:rPr>
          <w:rFonts w:ascii="Arial" w:hAnsi="Arial" w:cs="Arial"/>
          <w:b/>
        </w:rPr>
        <w:t xml:space="preserve">ją </w:t>
      </w:r>
      <w:r w:rsidRPr="004C1F83">
        <w:rPr>
          <w:rFonts w:ascii="Arial" w:hAnsi="Arial" w:cs="Arial"/>
          <w:b/>
        </w:rPr>
        <w:t>stawk</w:t>
      </w:r>
      <w:r w:rsidR="002218F0">
        <w:rPr>
          <w:rFonts w:ascii="Arial" w:hAnsi="Arial" w:cs="Arial"/>
          <w:b/>
        </w:rPr>
        <w:t>i</w:t>
      </w:r>
      <w:r w:rsidRPr="004C1F83">
        <w:rPr>
          <w:rFonts w:ascii="Arial" w:hAnsi="Arial" w:cs="Arial"/>
          <w:b/>
        </w:rPr>
        <w:t xml:space="preserve"> jednostkow</w:t>
      </w:r>
      <w:r w:rsidR="002218F0">
        <w:rPr>
          <w:rFonts w:ascii="Arial" w:hAnsi="Arial" w:cs="Arial"/>
          <w:b/>
        </w:rPr>
        <w:t>e</w:t>
      </w:r>
      <w:bookmarkEnd w:id="19"/>
    </w:p>
    <w:p w:rsidR="00972333" w:rsidRPr="00972333" w:rsidRDefault="00781C2F" w:rsidP="00972333">
      <w:pPr>
        <w:spacing w:after="120"/>
        <w:jc w:val="both"/>
        <w:rPr>
          <w:rFonts w:ascii="Arial" w:hAnsi="Arial" w:cs="Arial"/>
        </w:rPr>
      </w:pPr>
      <w:r w:rsidRPr="006114D3">
        <w:rPr>
          <w:rFonts w:ascii="Arial" w:hAnsi="Arial" w:cs="Arial"/>
          <w:color w:val="000000"/>
        </w:rPr>
        <w:t>Stawk</w:t>
      </w:r>
      <w:r w:rsidR="002218F0">
        <w:rPr>
          <w:rFonts w:ascii="Arial" w:hAnsi="Arial" w:cs="Arial"/>
          <w:color w:val="000000"/>
        </w:rPr>
        <w:t>i</w:t>
      </w:r>
      <w:r w:rsidRPr="006114D3">
        <w:rPr>
          <w:rFonts w:ascii="Arial" w:hAnsi="Arial" w:cs="Arial"/>
          <w:color w:val="000000"/>
        </w:rPr>
        <w:t xml:space="preserve"> jednostkow</w:t>
      </w:r>
      <w:r w:rsidR="002218F0">
        <w:rPr>
          <w:rFonts w:ascii="Arial" w:hAnsi="Arial" w:cs="Arial"/>
          <w:color w:val="000000"/>
        </w:rPr>
        <w:t>e</w:t>
      </w:r>
      <w:r w:rsidRPr="006114D3">
        <w:rPr>
          <w:rFonts w:ascii="Arial" w:hAnsi="Arial" w:cs="Arial"/>
          <w:color w:val="000000"/>
        </w:rPr>
        <w:t xml:space="preserve"> opracowan</w:t>
      </w:r>
      <w:r w:rsidR="002218F0">
        <w:rPr>
          <w:rFonts w:ascii="Arial" w:hAnsi="Arial" w:cs="Arial"/>
          <w:color w:val="000000"/>
        </w:rPr>
        <w:t>e</w:t>
      </w:r>
      <w:r w:rsidRPr="006114D3">
        <w:rPr>
          <w:rFonts w:ascii="Arial" w:hAnsi="Arial" w:cs="Arial"/>
          <w:color w:val="000000"/>
        </w:rPr>
        <w:t xml:space="preserve"> w niniejszej metodologii </w:t>
      </w:r>
      <w:r>
        <w:rPr>
          <w:rFonts w:ascii="Arial" w:hAnsi="Arial" w:cs="Arial"/>
          <w:color w:val="000000"/>
        </w:rPr>
        <w:t>mo</w:t>
      </w:r>
      <w:r w:rsidR="002218F0">
        <w:rPr>
          <w:rFonts w:ascii="Arial" w:hAnsi="Arial" w:cs="Arial"/>
          <w:color w:val="000000"/>
        </w:rPr>
        <w:t>gą</w:t>
      </w:r>
      <w:r>
        <w:rPr>
          <w:rFonts w:ascii="Arial" w:hAnsi="Arial" w:cs="Arial"/>
          <w:color w:val="000000"/>
        </w:rPr>
        <w:t xml:space="preserve"> mieć za</w:t>
      </w:r>
      <w:r w:rsidRPr="006114D3">
        <w:rPr>
          <w:rFonts w:ascii="Arial" w:hAnsi="Arial" w:cs="Arial"/>
          <w:color w:val="000000"/>
        </w:rPr>
        <w:t>stosowan</w:t>
      </w:r>
      <w:r>
        <w:rPr>
          <w:rFonts w:ascii="Arial" w:hAnsi="Arial" w:cs="Arial"/>
          <w:color w:val="000000"/>
        </w:rPr>
        <w:t xml:space="preserve">ie </w:t>
      </w:r>
      <w:r w:rsidRPr="006114D3">
        <w:rPr>
          <w:rFonts w:ascii="Arial" w:hAnsi="Arial" w:cs="Arial"/>
          <w:color w:val="000000"/>
        </w:rPr>
        <w:t xml:space="preserve">w projektach </w:t>
      </w:r>
      <w:r>
        <w:rPr>
          <w:rFonts w:ascii="Arial" w:hAnsi="Arial" w:cs="Arial"/>
          <w:color w:val="000000"/>
        </w:rPr>
        <w:t xml:space="preserve">konkursowych </w:t>
      </w:r>
      <w:r>
        <w:rPr>
          <w:rFonts w:ascii="Arial" w:eastAsia="Calibri" w:hAnsi="Arial" w:cs="Arial"/>
          <w:lang w:eastAsia="en-US"/>
        </w:rPr>
        <w:t xml:space="preserve">Osi Priorytetowej I </w:t>
      </w:r>
      <w:r w:rsidRPr="00F24D94">
        <w:rPr>
          <w:rFonts w:ascii="Arial" w:eastAsia="Calibri" w:hAnsi="Arial" w:cs="Arial"/>
          <w:i/>
          <w:lang w:eastAsia="en-US"/>
        </w:rPr>
        <w:t>Osoby młode na rynku pracy</w:t>
      </w:r>
      <w:r w:rsidR="002218F0" w:rsidRPr="002218F0">
        <w:rPr>
          <w:rFonts w:ascii="Arial" w:hAnsi="Arial" w:cs="Arial"/>
          <w:color w:val="000000"/>
        </w:rPr>
        <w:t xml:space="preserve"> </w:t>
      </w:r>
      <w:r w:rsidR="002218F0" w:rsidRPr="006114D3">
        <w:rPr>
          <w:rFonts w:ascii="Arial" w:hAnsi="Arial" w:cs="Arial"/>
          <w:color w:val="000000"/>
        </w:rPr>
        <w:t xml:space="preserve">Programu Operacyjnego Wiedza </w:t>
      </w:r>
      <w:r w:rsidR="002218F0" w:rsidRPr="006114D3">
        <w:rPr>
          <w:rFonts w:ascii="Arial" w:hAnsi="Arial" w:cs="Arial"/>
          <w:color w:val="000000"/>
        </w:rPr>
        <w:lastRenderedPageBreak/>
        <w:t>Edukacja Rozwój na lata 2014-2020</w:t>
      </w:r>
      <w:r w:rsidR="002218F0">
        <w:rPr>
          <w:rFonts w:ascii="Arial" w:eastAsia="Calibri" w:hAnsi="Arial" w:cs="Arial"/>
          <w:i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</w:t>
      </w:r>
      <w:r w:rsidR="00972333">
        <w:rPr>
          <w:rFonts w:ascii="Arial" w:eastAsia="Calibri" w:hAnsi="Arial" w:cs="Arial"/>
          <w:lang w:eastAsia="en-US"/>
        </w:rPr>
        <w:t xml:space="preserve">Działanie 1.2 </w:t>
      </w:r>
      <w:r w:rsidR="00972333" w:rsidRPr="00D76C67">
        <w:rPr>
          <w:rFonts w:ascii="Arial" w:eastAsia="Calibri" w:hAnsi="Arial" w:cs="Arial"/>
          <w:bCs/>
          <w:i/>
          <w:lang w:eastAsia="en-US"/>
        </w:rPr>
        <w:t>Wsparcie osób młodych na regionalnym rynku pracy – projekty konkursowe</w:t>
      </w:r>
      <w:r w:rsidR="002218F0">
        <w:rPr>
          <w:rFonts w:ascii="Arial" w:eastAsia="Calibri" w:hAnsi="Arial" w:cs="Arial"/>
          <w:bCs/>
          <w:i/>
          <w:lang w:eastAsia="en-US"/>
        </w:rPr>
        <w:t>,</w:t>
      </w:r>
      <w:r w:rsidR="00972333">
        <w:rPr>
          <w:rFonts w:ascii="Arial" w:eastAsia="Calibri" w:hAnsi="Arial" w:cs="Arial"/>
          <w:bCs/>
          <w:i/>
          <w:lang w:eastAsia="en-US"/>
        </w:rPr>
        <w:t xml:space="preserve"> </w:t>
      </w:r>
      <w:r w:rsidR="00972333" w:rsidRPr="00D76C67">
        <w:rPr>
          <w:rFonts w:ascii="Arial" w:eastAsia="Calibri" w:hAnsi="Arial" w:cs="Arial"/>
          <w:bCs/>
          <w:lang w:eastAsia="en-US"/>
        </w:rPr>
        <w:t>Podziałanie 1.2.1</w:t>
      </w:r>
      <w:r w:rsidR="00972333">
        <w:rPr>
          <w:rFonts w:ascii="Arial" w:eastAsia="Calibri" w:hAnsi="Arial" w:cs="Arial"/>
          <w:bCs/>
          <w:i/>
          <w:lang w:eastAsia="en-US"/>
        </w:rPr>
        <w:t xml:space="preserve"> </w:t>
      </w:r>
      <w:r w:rsidR="002218F0" w:rsidRPr="00D76C67">
        <w:rPr>
          <w:rFonts w:ascii="Arial" w:eastAsia="Calibri" w:hAnsi="Arial" w:cs="Arial"/>
          <w:bCs/>
          <w:i/>
          <w:lang w:eastAsia="en-US"/>
        </w:rPr>
        <w:t>Wsparcie udzielane z Europejskiego Funduszu Społecznego</w:t>
      </w:r>
      <w:r w:rsidRPr="00972333">
        <w:rPr>
          <w:rFonts w:ascii="Arial" w:hAnsi="Arial" w:cs="Arial"/>
          <w:color w:val="000000"/>
        </w:rPr>
        <w:t xml:space="preserve">. </w:t>
      </w:r>
      <w:r w:rsidRPr="00972333">
        <w:rPr>
          <w:rFonts w:ascii="Arial" w:hAnsi="Arial" w:cs="Arial"/>
        </w:rPr>
        <w:t xml:space="preserve">Są to projekty dotyczące </w:t>
      </w:r>
      <w:r w:rsidR="00972333" w:rsidRPr="00D76C67">
        <w:rPr>
          <w:rFonts w:ascii="Arial" w:hAnsi="Arial" w:cs="Arial"/>
        </w:rPr>
        <w:t xml:space="preserve">indywidualnej i kompleksowej aktywizacji zawodowo-edukacyjnej osób młodych </w:t>
      </w:r>
      <w:r w:rsidR="00972333" w:rsidRPr="00972333">
        <w:rPr>
          <w:rFonts w:ascii="Arial" w:hAnsi="Arial" w:cs="Arial"/>
        </w:rPr>
        <w:t xml:space="preserve">w wieku 15-29 lat: </w:t>
      </w:r>
    </w:p>
    <w:p w:rsidR="00972333" w:rsidRPr="00972333" w:rsidRDefault="002218F0" w:rsidP="00972333">
      <w:pPr>
        <w:numPr>
          <w:ilvl w:val="0"/>
          <w:numId w:val="4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72333">
        <w:rPr>
          <w:rFonts w:ascii="Arial" w:hAnsi="Arial" w:cs="Arial"/>
        </w:rPr>
        <w:t>ozostając</w:t>
      </w:r>
      <w:r>
        <w:rPr>
          <w:rFonts w:ascii="Arial" w:hAnsi="Arial" w:cs="Arial"/>
        </w:rPr>
        <w:t>ych</w:t>
      </w:r>
      <w:r w:rsidR="00972333">
        <w:rPr>
          <w:rFonts w:ascii="Arial" w:hAnsi="Arial" w:cs="Arial"/>
        </w:rPr>
        <w:t xml:space="preserve"> </w:t>
      </w:r>
      <w:r w:rsidR="00972333" w:rsidRPr="00972333">
        <w:rPr>
          <w:rFonts w:ascii="Arial" w:hAnsi="Arial" w:cs="Arial"/>
        </w:rPr>
        <w:t xml:space="preserve">bez pracy, w tym w szczególności osoby, które nie uczestniczą w kształceniu </w:t>
      </w:r>
      <w:r w:rsidR="0025486C">
        <w:rPr>
          <w:rFonts w:ascii="Arial" w:hAnsi="Arial" w:cs="Arial"/>
        </w:rPr>
        <w:t xml:space="preserve">                  </w:t>
      </w:r>
      <w:r w:rsidR="00972333" w:rsidRPr="00972333">
        <w:rPr>
          <w:rFonts w:ascii="Arial" w:hAnsi="Arial" w:cs="Arial"/>
        </w:rPr>
        <w:t>i szkoleniu (tzw. osoby z kategorii NEET)</w:t>
      </w:r>
      <w:r>
        <w:rPr>
          <w:rFonts w:ascii="Arial" w:hAnsi="Arial" w:cs="Arial"/>
        </w:rPr>
        <w:t xml:space="preserve"> lub</w:t>
      </w:r>
      <w:r w:rsidR="00972333" w:rsidRPr="00972333">
        <w:rPr>
          <w:rFonts w:ascii="Arial" w:hAnsi="Arial" w:cs="Arial"/>
        </w:rPr>
        <w:t xml:space="preserve"> </w:t>
      </w:r>
    </w:p>
    <w:p w:rsidR="00972333" w:rsidRPr="00972333" w:rsidRDefault="00972333" w:rsidP="00972333">
      <w:pPr>
        <w:numPr>
          <w:ilvl w:val="0"/>
          <w:numId w:val="43"/>
        </w:numPr>
        <w:spacing w:after="120"/>
        <w:jc w:val="both"/>
        <w:rPr>
          <w:rFonts w:ascii="Arial" w:hAnsi="Arial" w:cs="Arial"/>
        </w:rPr>
      </w:pPr>
      <w:r w:rsidRPr="00972333">
        <w:rPr>
          <w:rFonts w:ascii="Arial" w:hAnsi="Arial" w:cs="Arial"/>
        </w:rPr>
        <w:t xml:space="preserve">z następujących grup docelowych: imigranci (w tym osoby polskiego pochodzenia), reemigranci, osoby odchodzące z rolnictwa i ich rodziny, tzw. ubodzy pracujący, osoby zatrudnione na umowach krótkoterminowych oraz pracujący w ramach umów cywilno-prawnych. </w:t>
      </w:r>
    </w:p>
    <w:p w:rsidR="00183FC1" w:rsidRDefault="00183FC1" w:rsidP="00781C2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Projekty te są realizowane zgodnie z </w:t>
      </w:r>
      <w:r w:rsidRPr="0088536D">
        <w:rPr>
          <w:rFonts w:ascii="Arial" w:hAnsi="Arial" w:cs="Arial"/>
          <w:i/>
        </w:rPr>
        <w:t>Wytycznymi w zakresie realizacji przedsięwzięć z udziałem środków EFS w obszarze rynku pracy na lata 2014-2020</w:t>
      </w:r>
      <w:r>
        <w:rPr>
          <w:rFonts w:ascii="Arial" w:hAnsi="Arial" w:cs="Arial"/>
          <w:i/>
        </w:rPr>
        <w:t>.</w:t>
      </w:r>
    </w:p>
    <w:p w:rsidR="00246E72" w:rsidRDefault="00781C2F" w:rsidP="00781C2F">
      <w:pPr>
        <w:spacing w:after="120"/>
        <w:jc w:val="both"/>
        <w:rPr>
          <w:rFonts w:ascii="Arial" w:hAnsi="Arial" w:cs="Arial"/>
        </w:rPr>
      </w:pPr>
      <w:r w:rsidRPr="003C58EE">
        <w:rPr>
          <w:rFonts w:ascii="Arial" w:hAnsi="Arial" w:cs="Arial"/>
          <w:b/>
        </w:rPr>
        <w:t>Stawk</w:t>
      </w:r>
      <w:r w:rsidR="002218F0">
        <w:rPr>
          <w:rFonts w:ascii="Arial" w:hAnsi="Arial" w:cs="Arial"/>
          <w:b/>
        </w:rPr>
        <w:t>i</w:t>
      </w:r>
      <w:r w:rsidRPr="003C58EE">
        <w:rPr>
          <w:rFonts w:ascii="Arial" w:hAnsi="Arial" w:cs="Arial"/>
          <w:b/>
        </w:rPr>
        <w:t xml:space="preserve"> jednostkow</w:t>
      </w:r>
      <w:r w:rsidR="002218F0">
        <w:rPr>
          <w:rFonts w:ascii="Arial" w:hAnsi="Arial" w:cs="Arial"/>
          <w:b/>
        </w:rPr>
        <w:t>e</w:t>
      </w:r>
      <w:r w:rsidRPr="003C58EE">
        <w:rPr>
          <w:rFonts w:ascii="Arial" w:hAnsi="Arial" w:cs="Arial"/>
          <w:b/>
        </w:rPr>
        <w:t xml:space="preserve"> nie dotycz</w:t>
      </w:r>
      <w:r w:rsidR="002218F0">
        <w:rPr>
          <w:rFonts w:ascii="Arial" w:hAnsi="Arial" w:cs="Arial"/>
          <w:b/>
        </w:rPr>
        <w:t>ą</w:t>
      </w:r>
      <w:r w:rsidRPr="003C58EE">
        <w:rPr>
          <w:rFonts w:ascii="Arial" w:hAnsi="Arial" w:cs="Arial"/>
          <w:b/>
        </w:rPr>
        <w:t xml:space="preserve"> projektów realizowanych przez powiatowe urzędy pracy</w:t>
      </w:r>
      <w:r>
        <w:rPr>
          <w:rFonts w:ascii="Arial" w:hAnsi="Arial" w:cs="Arial"/>
        </w:rPr>
        <w:t xml:space="preserve"> (PUP) finansowanych z Funduszu Pracy</w:t>
      </w:r>
      <w:r>
        <w:rPr>
          <w:rFonts w:ascii="Arial" w:hAnsi="Arial" w:cs="Arial"/>
          <w:i/>
        </w:rPr>
        <w:t>.</w:t>
      </w:r>
      <w:r w:rsidRPr="006114D3">
        <w:rPr>
          <w:rFonts w:ascii="Arial" w:hAnsi="Arial" w:cs="Arial"/>
        </w:rPr>
        <w:t xml:space="preserve"> </w:t>
      </w:r>
    </w:p>
    <w:p w:rsidR="00781C2F" w:rsidRDefault="00246E72" w:rsidP="00781C2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Pilotażowo stawk</w:t>
      </w:r>
      <w:r w:rsidR="002218F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jednostkow</w:t>
      </w:r>
      <w:r w:rsidR="002218F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zostan</w:t>
      </w:r>
      <w:r w:rsidR="002218F0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zastosowan</w:t>
      </w:r>
      <w:r w:rsidR="002218F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w konkurs</w:t>
      </w:r>
      <w:r w:rsidR="00027588">
        <w:rPr>
          <w:rFonts w:ascii="Arial" w:hAnsi="Arial" w:cs="Arial"/>
        </w:rPr>
        <w:t xml:space="preserve">ach </w:t>
      </w:r>
      <w:r w:rsidR="00F71BCF">
        <w:rPr>
          <w:rFonts w:ascii="Arial" w:hAnsi="Arial" w:cs="Arial"/>
        </w:rPr>
        <w:t xml:space="preserve">planowanych w 2018 r. </w:t>
      </w:r>
      <w:r w:rsidR="0025486C">
        <w:rPr>
          <w:rFonts w:ascii="Arial" w:hAnsi="Arial" w:cs="Arial"/>
        </w:rPr>
        <w:t xml:space="preserve">                            </w:t>
      </w:r>
      <w:r w:rsidR="00027588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województw</w:t>
      </w:r>
      <w:r w:rsidR="00027588">
        <w:rPr>
          <w:rFonts w:ascii="Arial" w:hAnsi="Arial" w:cs="Arial"/>
        </w:rPr>
        <w:t xml:space="preserve">ie </w:t>
      </w:r>
      <w:r>
        <w:rPr>
          <w:rFonts w:ascii="Arial" w:hAnsi="Arial" w:cs="Arial"/>
        </w:rPr>
        <w:t xml:space="preserve">podlaskim i zachodniopomorskim. </w:t>
      </w:r>
      <w:r w:rsidR="00781C2F">
        <w:rPr>
          <w:rFonts w:ascii="Arial" w:hAnsi="Arial" w:cs="Arial"/>
        </w:rPr>
        <w:t xml:space="preserve"> </w:t>
      </w:r>
    </w:p>
    <w:p w:rsidR="001B0194" w:rsidRDefault="001B0194" w:rsidP="00682511">
      <w:pPr>
        <w:jc w:val="both"/>
        <w:rPr>
          <w:rFonts w:ascii="Arial" w:hAnsi="Arial" w:cs="Arial"/>
        </w:rPr>
      </w:pPr>
    </w:p>
    <w:p w:rsidR="001C18CC" w:rsidRPr="00926B74" w:rsidRDefault="001C18CC" w:rsidP="00682511">
      <w:pPr>
        <w:jc w:val="both"/>
        <w:rPr>
          <w:rFonts w:ascii="Arial" w:hAnsi="Arial" w:cs="Arial"/>
        </w:rPr>
      </w:pPr>
    </w:p>
    <w:p w:rsidR="003E7005" w:rsidRDefault="00E857F2" w:rsidP="00926B74">
      <w:pPr>
        <w:pStyle w:val="Nagwek1"/>
        <w:numPr>
          <w:ilvl w:val="0"/>
          <w:numId w:val="3"/>
        </w:numPr>
        <w:spacing w:after="120"/>
        <w:rPr>
          <w:rFonts w:ascii="Arial" w:hAnsi="Arial" w:cs="Arial"/>
          <w:sz w:val="20"/>
        </w:rPr>
      </w:pPr>
      <w:bookmarkStart w:id="20" w:name="_Toc506794004"/>
      <w:bookmarkStart w:id="21" w:name="_Toc506803877"/>
      <w:bookmarkStart w:id="22" w:name="_Toc510100702"/>
      <w:bookmarkEnd w:id="20"/>
      <w:bookmarkEnd w:id="21"/>
      <w:r w:rsidRPr="004C1F83">
        <w:rPr>
          <w:rFonts w:ascii="Arial" w:hAnsi="Arial" w:cs="Arial"/>
          <w:sz w:val="20"/>
        </w:rPr>
        <w:t xml:space="preserve">Szczegółowy zakres </w:t>
      </w:r>
      <w:r w:rsidR="00F34CD0">
        <w:rPr>
          <w:rFonts w:ascii="Arial" w:hAnsi="Arial" w:cs="Arial"/>
          <w:sz w:val="20"/>
        </w:rPr>
        <w:t>staw</w:t>
      </w:r>
      <w:r w:rsidR="002218F0">
        <w:rPr>
          <w:rFonts w:ascii="Arial" w:hAnsi="Arial" w:cs="Arial"/>
          <w:sz w:val="20"/>
        </w:rPr>
        <w:t>ek</w:t>
      </w:r>
      <w:r w:rsidR="00F34CD0">
        <w:rPr>
          <w:rFonts w:ascii="Arial" w:hAnsi="Arial" w:cs="Arial"/>
          <w:sz w:val="20"/>
        </w:rPr>
        <w:t xml:space="preserve"> </w:t>
      </w:r>
      <w:r w:rsidRPr="004C1F83">
        <w:rPr>
          <w:rFonts w:ascii="Arial" w:hAnsi="Arial" w:cs="Arial"/>
          <w:sz w:val="20"/>
        </w:rPr>
        <w:t>jednostkow</w:t>
      </w:r>
      <w:r w:rsidR="002218F0">
        <w:rPr>
          <w:rFonts w:ascii="Arial" w:hAnsi="Arial" w:cs="Arial"/>
          <w:sz w:val="20"/>
        </w:rPr>
        <w:t>ych</w:t>
      </w:r>
      <w:bookmarkEnd w:id="22"/>
    </w:p>
    <w:p w:rsidR="00814AF6" w:rsidRDefault="00B2383A" w:rsidP="009372D3">
      <w:pPr>
        <w:spacing w:after="120"/>
        <w:jc w:val="both"/>
        <w:rPr>
          <w:rFonts w:ascii="Arial" w:hAnsi="Arial" w:cs="Arial"/>
        </w:rPr>
      </w:pPr>
      <w:r w:rsidRPr="00DE121B">
        <w:rPr>
          <w:rFonts w:ascii="Arial" w:hAnsi="Arial" w:cs="Arial"/>
        </w:rPr>
        <w:t>Stawk</w:t>
      </w:r>
      <w:r w:rsidR="00814AF6">
        <w:rPr>
          <w:rFonts w:ascii="Arial" w:hAnsi="Arial" w:cs="Arial"/>
        </w:rPr>
        <w:t>i</w:t>
      </w:r>
      <w:r w:rsidRPr="00DE121B">
        <w:rPr>
          <w:rFonts w:ascii="Arial" w:hAnsi="Arial" w:cs="Arial"/>
        </w:rPr>
        <w:t xml:space="preserve"> jednostkow</w:t>
      </w:r>
      <w:r w:rsidR="00814AF6">
        <w:rPr>
          <w:rFonts w:ascii="Arial" w:hAnsi="Arial" w:cs="Arial"/>
        </w:rPr>
        <w:t>e</w:t>
      </w:r>
      <w:r w:rsidRPr="00DE121B">
        <w:rPr>
          <w:rFonts w:ascii="Arial" w:hAnsi="Arial" w:cs="Arial"/>
        </w:rPr>
        <w:t xml:space="preserve"> </w:t>
      </w:r>
      <w:r w:rsidR="000446FB">
        <w:rPr>
          <w:rFonts w:ascii="Arial" w:hAnsi="Arial" w:cs="Arial"/>
        </w:rPr>
        <w:t>dotyczą</w:t>
      </w:r>
      <w:r w:rsidR="00814AF6">
        <w:rPr>
          <w:rFonts w:ascii="Arial" w:hAnsi="Arial" w:cs="Arial"/>
        </w:rPr>
        <w:t>:</w:t>
      </w:r>
    </w:p>
    <w:p w:rsidR="00814AF6" w:rsidRPr="00F67732" w:rsidRDefault="00B2383A" w:rsidP="00BD2994">
      <w:pPr>
        <w:pStyle w:val="Akapitzlist"/>
        <w:numPr>
          <w:ilvl w:val="1"/>
          <w:numId w:val="42"/>
        </w:numPr>
        <w:spacing w:after="120"/>
        <w:jc w:val="both"/>
        <w:rPr>
          <w:rFonts w:ascii="Arial" w:hAnsi="Arial" w:cs="Arial"/>
        </w:rPr>
      </w:pPr>
      <w:r w:rsidRPr="00F67732">
        <w:rPr>
          <w:rFonts w:ascii="Arial" w:hAnsi="Arial" w:cs="Arial"/>
        </w:rPr>
        <w:t>usług</w:t>
      </w:r>
      <w:r w:rsidR="000446FB" w:rsidRPr="00F67732">
        <w:rPr>
          <w:rFonts w:ascii="Arial" w:hAnsi="Arial" w:cs="Arial"/>
        </w:rPr>
        <w:t>i</w:t>
      </w:r>
      <w:r w:rsidRPr="00F67732">
        <w:rPr>
          <w:rFonts w:ascii="Arial" w:hAnsi="Arial" w:cs="Arial"/>
        </w:rPr>
        <w:t xml:space="preserve"> aktywizacji zawodowej </w:t>
      </w:r>
      <w:r w:rsidR="00814AF6" w:rsidRPr="00F67732">
        <w:rPr>
          <w:rFonts w:ascii="Arial" w:hAnsi="Arial" w:cs="Arial"/>
        </w:rPr>
        <w:t>osób młodych</w:t>
      </w:r>
      <w:r w:rsidR="00236665" w:rsidRPr="00236665">
        <w:rPr>
          <w:rFonts w:ascii="Arial" w:hAnsi="Arial" w:cs="Arial"/>
        </w:rPr>
        <w:t xml:space="preserve"> </w:t>
      </w:r>
      <w:r w:rsidR="00236665" w:rsidRPr="00154D84">
        <w:rPr>
          <w:rFonts w:ascii="Arial" w:hAnsi="Arial" w:cs="Arial"/>
        </w:rPr>
        <w:t>niepracujących</w:t>
      </w:r>
      <w:r w:rsidR="000446FB" w:rsidRPr="00F67732">
        <w:rPr>
          <w:rFonts w:ascii="Arial" w:hAnsi="Arial" w:cs="Arial"/>
        </w:rPr>
        <w:t>,</w:t>
      </w:r>
      <w:r w:rsidR="00814AF6" w:rsidRPr="00F67732">
        <w:rPr>
          <w:rFonts w:ascii="Arial" w:hAnsi="Arial" w:cs="Arial"/>
        </w:rPr>
        <w:t xml:space="preserve">  </w:t>
      </w:r>
    </w:p>
    <w:p w:rsidR="00814AF6" w:rsidRDefault="000446FB" w:rsidP="00BD2994">
      <w:pPr>
        <w:pStyle w:val="Akapitzlist"/>
        <w:numPr>
          <w:ilvl w:val="1"/>
          <w:numId w:val="42"/>
        </w:numPr>
        <w:spacing w:after="120"/>
        <w:jc w:val="both"/>
        <w:rPr>
          <w:rFonts w:ascii="Arial" w:hAnsi="Arial" w:cs="Arial"/>
        </w:rPr>
      </w:pPr>
      <w:r w:rsidRPr="00BD2994">
        <w:rPr>
          <w:rFonts w:ascii="Arial" w:hAnsi="Arial" w:cs="Arial"/>
        </w:rPr>
        <w:t>usług</w:t>
      </w:r>
      <w:r>
        <w:rPr>
          <w:rFonts w:ascii="Arial" w:hAnsi="Arial" w:cs="Arial"/>
        </w:rPr>
        <w:t>i</w:t>
      </w:r>
      <w:r w:rsidRPr="00BD2994">
        <w:rPr>
          <w:rFonts w:ascii="Arial" w:hAnsi="Arial" w:cs="Arial"/>
        </w:rPr>
        <w:t xml:space="preserve"> </w:t>
      </w:r>
      <w:r w:rsidR="00814AF6" w:rsidRPr="00BD2994">
        <w:rPr>
          <w:rFonts w:ascii="Arial" w:hAnsi="Arial" w:cs="Arial"/>
        </w:rPr>
        <w:t>zmierzając</w:t>
      </w:r>
      <w:r>
        <w:rPr>
          <w:rFonts w:ascii="Arial" w:hAnsi="Arial" w:cs="Arial"/>
        </w:rPr>
        <w:t>ej</w:t>
      </w:r>
      <w:r w:rsidR="00814AF6" w:rsidRPr="00BD2994">
        <w:rPr>
          <w:rFonts w:ascii="Arial" w:hAnsi="Arial" w:cs="Arial"/>
        </w:rPr>
        <w:t xml:space="preserve"> do poprawy sytuacji na rynku pracy osób </w:t>
      </w:r>
      <w:r w:rsidR="00814AF6">
        <w:rPr>
          <w:rFonts w:ascii="Arial" w:hAnsi="Arial" w:cs="Arial"/>
        </w:rPr>
        <w:t>młodych</w:t>
      </w:r>
      <w:r w:rsidR="001C18CC">
        <w:rPr>
          <w:rFonts w:ascii="Arial" w:hAnsi="Arial" w:cs="Arial"/>
        </w:rPr>
        <w:t xml:space="preserve"> </w:t>
      </w:r>
      <w:r w:rsidR="001C18CC" w:rsidRPr="004E1C6A">
        <w:rPr>
          <w:rFonts w:ascii="Arial" w:hAnsi="Arial" w:cs="Arial"/>
        </w:rPr>
        <w:t>pracujących</w:t>
      </w:r>
      <w:r w:rsidR="00814AF6">
        <w:rPr>
          <w:rFonts w:ascii="Arial" w:hAnsi="Arial" w:cs="Arial"/>
        </w:rPr>
        <w:t xml:space="preserve"> </w:t>
      </w:r>
    </w:p>
    <w:p w:rsidR="009372D3" w:rsidRPr="00BD2994" w:rsidRDefault="00B2383A" w:rsidP="00814AF6">
      <w:pPr>
        <w:spacing w:after="120"/>
        <w:jc w:val="both"/>
        <w:rPr>
          <w:rFonts w:ascii="Arial" w:hAnsi="Arial" w:cs="Arial"/>
        </w:rPr>
      </w:pPr>
      <w:r w:rsidRPr="00BD2994">
        <w:rPr>
          <w:rFonts w:ascii="Arial" w:hAnsi="Arial" w:cs="Arial"/>
        </w:rPr>
        <w:t xml:space="preserve">poprzez </w:t>
      </w:r>
      <w:r w:rsidR="00C93CD0" w:rsidRPr="00BD2994">
        <w:rPr>
          <w:rFonts w:ascii="Arial" w:hAnsi="Arial" w:cs="Arial"/>
          <w:b/>
        </w:rPr>
        <w:t>indywidualn</w:t>
      </w:r>
      <w:r w:rsidR="0049057F" w:rsidRPr="00BD2994">
        <w:rPr>
          <w:rFonts w:ascii="Arial" w:hAnsi="Arial" w:cs="Arial"/>
          <w:b/>
        </w:rPr>
        <w:t>ą</w:t>
      </w:r>
      <w:r w:rsidR="00C93CD0" w:rsidRPr="00BD2994">
        <w:rPr>
          <w:rFonts w:ascii="Arial" w:hAnsi="Arial" w:cs="Arial"/>
          <w:b/>
        </w:rPr>
        <w:t xml:space="preserve"> i kompleksow</w:t>
      </w:r>
      <w:r w:rsidR="0049057F" w:rsidRPr="00BD2994">
        <w:rPr>
          <w:rFonts w:ascii="Arial" w:hAnsi="Arial" w:cs="Arial"/>
          <w:b/>
        </w:rPr>
        <w:t>ą</w:t>
      </w:r>
      <w:r w:rsidR="00C93CD0" w:rsidRPr="00BD2994">
        <w:rPr>
          <w:rFonts w:ascii="Arial" w:hAnsi="Arial" w:cs="Arial"/>
          <w:b/>
        </w:rPr>
        <w:t xml:space="preserve"> pomoc </w:t>
      </w:r>
      <w:r w:rsidR="00CE426F" w:rsidRPr="00BD2994">
        <w:rPr>
          <w:rFonts w:ascii="Arial" w:hAnsi="Arial" w:cs="Arial"/>
        </w:rPr>
        <w:t xml:space="preserve">realizowaną </w:t>
      </w:r>
      <w:r w:rsidRPr="00BD2994">
        <w:rPr>
          <w:rFonts w:ascii="Arial" w:hAnsi="Arial" w:cs="Arial"/>
        </w:rPr>
        <w:t>zgodnie</w:t>
      </w:r>
      <w:r w:rsidR="000A7A0A" w:rsidRPr="00BD2994">
        <w:rPr>
          <w:rFonts w:ascii="Arial" w:hAnsi="Arial" w:cs="Arial"/>
        </w:rPr>
        <w:t xml:space="preserve"> </w:t>
      </w:r>
      <w:r w:rsidRPr="00BD2994">
        <w:rPr>
          <w:rFonts w:ascii="Arial" w:hAnsi="Arial" w:cs="Arial"/>
        </w:rPr>
        <w:t xml:space="preserve">z zaplanowaną dla danego uczestnika ścieżką </w:t>
      </w:r>
      <w:r w:rsidR="00523363" w:rsidRPr="00BD2994">
        <w:rPr>
          <w:rFonts w:ascii="Arial" w:hAnsi="Arial" w:cs="Arial"/>
        </w:rPr>
        <w:t xml:space="preserve">wsparcia </w:t>
      </w:r>
      <w:r w:rsidR="009372D3" w:rsidRPr="00BD2994">
        <w:rPr>
          <w:rFonts w:ascii="Arial" w:hAnsi="Arial" w:cs="Arial"/>
        </w:rPr>
        <w:t>wynikającą z</w:t>
      </w:r>
      <w:r w:rsidR="00DE121B" w:rsidRPr="00BD2994">
        <w:rPr>
          <w:rFonts w:ascii="Arial" w:hAnsi="Arial" w:cs="Arial"/>
        </w:rPr>
        <w:t xml:space="preserve"> </w:t>
      </w:r>
      <w:r w:rsidR="000A7A0A" w:rsidRPr="00BD2994">
        <w:rPr>
          <w:rFonts w:ascii="Arial" w:hAnsi="Arial" w:cs="Arial"/>
        </w:rPr>
        <w:t>I</w:t>
      </w:r>
      <w:r w:rsidR="00DE121B" w:rsidRPr="00BD2994">
        <w:rPr>
          <w:rFonts w:ascii="Arial" w:hAnsi="Arial" w:cs="Arial"/>
        </w:rPr>
        <w:t>ndywidualn</w:t>
      </w:r>
      <w:r w:rsidR="009372D3" w:rsidRPr="00BD2994">
        <w:rPr>
          <w:rFonts w:ascii="Arial" w:hAnsi="Arial" w:cs="Arial"/>
        </w:rPr>
        <w:t>ego</w:t>
      </w:r>
      <w:r w:rsidR="00DE121B" w:rsidRPr="00BD2994">
        <w:rPr>
          <w:rFonts w:ascii="Arial" w:hAnsi="Arial" w:cs="Arial"/>
        </w:rPr>
        <w:t xml:space="preserve"> </w:t>
      </w:r>
      <w:r w:rsidR="000A7A0A" w:rsidRPr="00BD2994">
        <w:rPr>
          <w:rFonts w:ascii="Arial" w:hAnsi="Arial" w:cs="Arial"/>
        </w:rPr>
        <w:t>P</w:t>
      </w:r>
      <w:r w:rsidR="00DE121B" w:rsidRPr="00BD2994">
        <w:rPr>
          <w:rFonts w:ascii="Arial" w:hAnsi="Arial" w:cs="Arial"/>
        </w:rPr>
        <w:t>lan</w:t>
      </w:r>
      <w:r w:rsidR="009372D3" w:rsidRPr="00BD2994">
        <w:rPr>
          <w:rFonts w:ascii="Arial" w:hAnsi="Arial" w:cs="Arial"/>
        </w:rPr>
        <w:t>u</w:t>
      </w:r>
      <w:r w:rsidR="00DE121B" w:rsidRPr="00BD2994">
        <w:rPr>
          <w:rFonts w:ascii="Arial" w:hAnsi="Arial" w:cs="Arial"/>
        </w:rPr>
        <w:t xml:space="preserve"> </w:t>
      </w:r>
      <w:r w:rsidR="000A7A0A" w:rsidRPr="00BD2994">
        <w:rPr>
          <w:rFonts w:ascii="Arial" w:hAnsi="Arial" w:cs="Arial"/>
        </w:rPr>
        <w:t>D</w:t>
      </w:r>
      <w:r w:rsidR="00DE121B" w:rsidRPr="00BD2994">
        <w:rPr>
          <w:rFonts w:ascii="Arial" w:hAnsi="Arial" w:cs="Arial"/>
        </w:rPr>
        <w:t>ziałania</w:t>
      </w:r>
      <w:r w:rsidR="001C18CC">
        <w:rPr>
          <w:rFonts w:ascii="Arial" w:hAnsi="Arial" w:cs="Arial"/>
        </w:rPr>
        <w:t xml:space="preserve"> (IPD) </w:t>
      </w:r>
      <w:r w:rsidR="00DE121B" w:rsidRPr="00BD2994">
        <w:rPr>
          <w:rFonts w:ascii="Arial" w:hAnsi="Arial" w:cs="Arial"/>
        </w:rPr>
        <w:t>lub inn</w:t>
      </w:r>
      <w:r w:rsidR="009372D3" w:rsidRPr="00BD2994">
        <w:rPr>
          <w:rFonts w:ascii="Arial" w:hAnsi="Arial" w:cs="Arial"/>
        </w:rPr>
        <w:t>ego</w:t>
      </w:r>
      <w:r w:rsidR="00DE121B" w:rsidRPr="00BD2994">
        <w:rPr>
          <w:rFonts w:ascii="Arial" w:hAnsi="Arial" w:cs="Arial"/>
        </w:rPr>
        <w:t xml:space="preserve"> dokument</w:t>
      </w:r>
      <w:r w:rsidR="009372D3" w:rsidRPr="00BD2994">
        <w:rPr>
          <w:rFonts w:ascii="Arial" w:hAnsi="Arial" w:cs="Arial"/>
        </w:rPr>
        <w:t>u</w:t>
      </w:r>
      <w:r w:rsidR="00DE121B" w:rsidRPr="00BD2994">
        <w:rPr>
          <w:rFonts w:ascii="Arial" w:hAnsi="Arial" w:cs="Arial"/>
        </w:rPr>
        <w:t xml:space="preserve"> pełniąc</w:t>
      </w:r>
      <w:r w:rsidR="009372D3" w:rsidRPr="00BD2994">
        <w:rPr>
          <w:rFonts w:ascii="Arial" w:hAnsi="Arial" w:cs="Arial"/>
        </w:rPr>
        <w:t>ego</w:t>
      </w:r>
      <w:r w:rsidR="00DE121B" w:rsidRPr="00BD2994">
        <w:rPr>
          <w:rFonts w:ascii="Arial" w:hAnsi="Arial" w:cs="Arial"/>
        </w:rPr>
        <w:t xml:space="preserve"> analogiczną funkcję</w:t>
      </w:r>
      <w:r w:rsidR="008C4C4A" w:rsidRPr="00BD2994">
        <w:rPr>
          <w:rFonts w:ascii="Arial" w:hAnsi="Arial" w:cs="Arial"/>
        </w:rPr>
        <w:t>.</w:t>
      </w:r>
      <w:r w:rsidR="000A7A0A" w:rsidRPr="00BD2994">
        <w:rPr>
          <w:rFonts w:ascii="Arial" w:hAnsi="Arial" w:cs="Arial"/>
        </w:rPr>
        <w:t xml:space="preserve"> </w:t>
      </w:r>
      <w:r w:rsidR="009372D3" w:rsidRPr="00BD2994">
        <w:rPr>
          <w:rFonts w:ascii="Arial" w:hAnsi="Arial" w:cs="Arial"/>
        </w:rPr>
        <w:t>IPD jest opracowywane przez beneficjenta zgodnie ze standardem Instytucji Pośredniczącej PO WER zawartym w regulaminie konkursu.</w:t>
      </w:r>
    </w:p>
    <w:p w:rsidR="00C93CD0" w:rsidRPr="0072571A" w:rsidRDefault="008C4C4A" w:rsidP="00C93CD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93CD0" w:rsidRPr="00C93CD0">
        <w:rPr>
          <w:rFonts w:ascii="Arial" w:hAnsi="Arial" w:cs="Arial"/>
        </w:rPr>
        <w:t xml:space="preserve">wa </w:t>
      </w:r>
      <w:r>
        <w:rPr>
          <w:rFonts w:ascii="Arial" w:hAnsi="Arial" w:cs="Arial"/>
        </w:rPr>
        <w:t xml:space="preserve">elementy </w:t>
      </w:r>
      <w:r w:rsidR="009372D3">
        <w:rPr>
          <w:rFonts w:ascii="Arial" w:hAnsi="Arial" w:cs="Arial"/>
        </w:rPr>
        <w:t xml:space="preserve">wsparcia </w:t>
      </w:r>
      <w:r>
        <w:rPr>
          <w:rFonts w:ascii="Arial" w:hAnsi="Arial" w:cs="Arial"/>
        </w:rPr>
        <w:t xml:space="preserve">są </w:t>
      </w:r>
      <w:r w:rsidR="00C93CD0" w:rsidRPr="00C93CD0">
        <w:rPr>
          <w:rFonts w:ascii="Arial" w:hAnsi="Arial" w:cs="Arial"/>
        </w:rPr>
        <w:t>obligatoryjne</w:t>
      </w:r>
      <w:r w:rsidR="001C333C">
        <w:rPr>
          <w:rFonts w:ascii="Arial" w:hAnsi="Arial" w:cs="Arial"/>
        </w:rPr>
        <w:t xml:space="preserve"> dla każdego uczestnika projektu</w:t>
      </w:r>
      <w:r w:rsidR="009372D3">
        <w:rPr>
          <w:rFonts w:ascii="Arial" w:hAnsi="Arial" w:cs="Arial"/>
        </w:rPr>
        <w:t>. K</w:t>
      </w:r>
      <w:r w:rsidR="00C93CD0" w:rsidRPr="00C93CD0">
        <w:rPr>
          <w:rFonts w:ascii="Arial" w:hAnsi="Arial" w:cs="Arial"/>
        </w:rPr>
        <w:t>olejne</w:t>
      </w:r>
      <w:r w:rsidR="0049057F">
        <w:rPr>
          <w:rFonts w:ascii="Arial" w:hAnsi="Arial" w:cs="Arial"/>
        </w:rPr>
        <w:t xml:space="preserve"> formy wsparcia udzielane będą w</w:t>
      </w:r>
      <w:r w:rsidR="00C93CD0" w:rsidRPr="00C93CD0">
        <w:rPr>
          <w:rFonts w:ascii="Arial" w:hAnsi="Arial" w:cs="Arial"/>
        </w:rPr>
        <w:t xml:space="preserve"> zależności od potrzeb i możliwości </w:t>
      </w:r>
      <w:r w:rsidR="0049057F">
        <w:rPr>
          <w:rFonts w:ascii="Arial" w:hAnsi="Arial" w:cs="Arial"/>
        </w:rPr>
        <w:t>uczestnika</w:t>
      </w:r>
      <w:r w:rsidR="00741F72">
        <w:rPr>
          <w:rFonts w:ascii="Arial" w:hAnsi="Arial" w:cs="Arial"/>
        </w:rPr>
        <w:t xml:space="preserve"> wynikających z IPD lub analogicznego dokumentu</w:t>
      </w:r>
      <w:r w:rsidR="00C93CD0" w:rsidRPr="00C93CD0">
        <w:rPr>
          <w:rFonts w:ascii="Arial" w:hAnsi="Arial" w:cs="Arial"/>
        </w:rPr>
        <w:t xml:space="preserve">. </w:t>
      </w:r>
      <w:r w:rsidR="0072571A" w:rsidRPr="0072571A">
        <w:rPr>
          <w:rFonts w:ascii="Arial" w:hAnsi="Arial" w:cs="Arial"/>
        </w:rPr>
        <w:t>Obligatoryjne</w:t>
      </w:r>
      <w:r w:rsidR="00C93CD0" w:rsidRPr="0072571A">
        <w:rPr>
          <w:rFonts w:ascii="Arial" w:hAnsi="Arial" w:cs="Arial"/>
        </w:rPr>
        <w:t xml:space="preserve"> </w:t>
      </w:r>
      <w:r w:rsidR="001C333C">
        <w:rPr>
          <w:rFonts w:ascii="Arial" w:hAnsi="Arial" w:cs="Arial"/>
        </w:rPr>
        <w:t xml:space="preserve">dla każdego uczestnika projektu </w:t>
      </w:r>
      <w:r w:rsidR="00C93CD0" w:rsidRPr="0072571A">
        <w:rPr>
          <w:rFonts w:ascii="Arial" w:hAnsi="Arial" w:cs="Arial"/>
        </w:rPr>
        <w:t>instrumenty i usługi rynku pracy służące indywidualizacji wsparcia oraz pomocy w zakresie określenia ścieżki zawodowej</w:t>
      </w:r>
      <w:r w:rsidR="0072571A" w:rsidRPr="0072571A">
        <w:rPr>
          <w:rFonts w:ascii="Arial" w:hAnsi="Arial" w:cs="Arial"/>
        </w:rPr>
        <w:t xml:space="preserve"> to</w:t>
      </w:r>
      <w:r w:rsidR="00C93CD0" w:rsidRPr="0072571A">
        <w:rPr>
          <w:rFonts w:ascii="Arial" w:hAnsi="Arial" w:cs="Arial"/>
        </w:rPr>
        <w:t>:</w:t>
      </w:r>
    </w:p>
    <w:p w:rsidR="00C93CD0" w:rsidRPr="00C93CD0" w:rsidRDefault="00C93CD0" w:rsidP="0072571A">
      <w:pPr>
        <w:numPr>
          <w:ilvl w:val="1"/>
          <w:numId w:val="28"/>
        </w:numPr>
        <w:spacing w:after="120"/>
        <w:ind w:left="851" w:hanging="284"/>
        <w:jc w:val="both"/>
        <w:rPr>
          <w:rFonts w:ascii="Arial" w:hAnsi="Arial" w:cs="Arial"/>
        </w:rPr>
      </w:pPr>
      <w:r w:rsidRPr="00C93CD0">
        <w:rPr>
          <w:rFonts w:ascii="Arial" w:hAnsi="Arial" w:cs="Arial"/>
        </w:rPr>
        <w:t>identyfikacja potrzeb osób młodych oraz diagnozowanie możliwości w zakresie doskonalenia zawodowego, w tym identyfikacja stopnia oddalenia od rynku pracy osób młodych,</w:t>
      </w:r>
    </w:p>
    <w:p w:rsidR="00C93CD0" w:rsidRPr="00C93CD0" w:rsidRDefault="00C93CD0" w:rsidP="0072571A">
      <w:pPr>
        <w:numPr>
          <w:ilvl w:val="1"/>
          <w:numId w:val="28"/>
        </w:numPr>
        <w:spacing w:after="120"/>
        <w:ind w:left="851" w:hanging="284"/>
        <w:jc w:val="both"/>
        <w:rPr>
          <w:rFonts w:ascii="Arial" w:hAnsi="Arial" w:cs="Arial"/>
        </w:rPr>
      </w:pPr>
      <w:r w:rsidRPr="00C93CD0">
        <w:rPr>
          <w:rFonts w:ascii="Arial" w:hAnsi="Arial" w:cs="Arial"/>
        </w:rPr>
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</w:t>
      </w:r>
      <w:r w:rsidR="0072571A">
        <w:rPr>
          <w:rFonts w:ascii="Arial" w:hAnsi="Arial" w:cs="Arial"/>
        </w:rPr>
        <w:t>.</w:t>
      </w:r>
    </w:p>
    <w:p w:rsidR="00F65960" w:rsidRDefault="002218F0" w:rsidP="00DE121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Stawk</w:t>
      </w:r>
      <w:r w:rsidR="00F71BCF">
        <w:rPr>
          <w:rFonts w:ascii="Arial" w:hAnsi="Arial" w:cs="Arial"/>
        </w:rPr>
        <w:t>i</w:t>
      </w:r>
      <w:r w:rsidR="00DE121B">
        <w:rPr>
          <w:rFonts w:ascii="Arial" w:hAnsi="Arial" w:cs="Arial"/>
        </w:rPr>
        <w:t xml:space="preserve"> jednostkow</w:t>
      </w:r>
      <w:r w:rsidR="00F71BCF">
        <w:rPr>
          <w:rFonts w:ascii="Arial" w:hAnsi="Arial" w:cs="Arial"/>
        </w:rPr>
        <w:t>e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obejmuj</w:t>
      </w:r>
      <w:r w:rsidR="00F71BCF">
        <w:rPr>
          <w:rFonts w:ascii="Arial" w:hAnsi="Arial" w:cs="Arial"/>
        </w:rPr>
        <w:t>ą</w:t>
      </w:r>
      <w:r w:rsidR="00DE121B" w:rsidRPr="00DE121B">
        <w:rPr>
          <w:rFonts w:ascii="Arial" w:hAnsi="Arial" w:cs="Arial"/>
        </w:rPr>
        <w:t xml:space="preserve"> instrumenty i usługi rynku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 xml:space="preserve">pracy wskazane w ustawie </w:t>
      </w:r>
      <w:r w:rsidR="00DE121B" w:rsidRPr="00DE121B">
        <w:rPr>
          <w:rFonts w:ascii="Arial" w:hAnsi="Arial" w:cs="Arial"/>
          <w:i/>
        </w:rPr>
        <w:t>o promocji zatrudnienia i instytucjach rynku pracy</w:t>
      </w:r>
      <w:r w:rsidR="00DE121B" w:rsidRPr="00DE121B">
        <w:rPr>
          <w:rFonts w:ascii="Arial" w:hAnsi="Arial" w:cs="Arial"/>
        </w:rPr>
        <w:t xml:space="preserve"> lub inne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działania, które przyczyniają się do aktywizacji zawodowej i/lub poprawy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sytuacji danej osoby na rynku pracy</w:t>
      </w:r>
      <w:r w:rsidR="00DE121B">
        <w:rPr>
          <w:rFonts w:ascii="Arial" w:hAnsi="Arial" w:cs="Arial"/>
        </w:rPr>
        <w:t xml:space="preserve">. </w:t>
      </w:r>
      <w:r w:rsidR="00DE121B" w:rsidRPr="00DE121B">
        <w:rPr>
          <w:rFonts w:ascii="Arial" w:hAnsi="Arial" w:cs="Arial"/>
        </w:rPr>
        <w:t>Wsparcie jest dostosowane do indywidualnych potrzeb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uczestnik</w:t>
      </w:r>
      <w:r w:rsidR="00DE121B">
        <w:rPr>
          <w:rFonts w:ascii="Arial" w:hAnsi="Arial" w:cs="Arial"/>
        </w:rPr>
        <w:t xml:space="preserve">a </w:t>
      </w:r>
      <w:r w:rsidR="00DE121B" w:rsidRPr="00DE121B">
        <w:rPr>
          <w:rFonts w:ascii="Arial" w:hAnsi="Arial" w:cs="Arial"/>
        </w:rPr>
        <w:t>projekt</w:t>
      </w:r>
      <w:r w:rsidR="00DE121B">
        <w:rPr>
          <w:rFonts w:ascii="Arial" w:hAnsi="Arial" w:cs="Arial"/>
        </w:rPr>
        <w:t>u</w:t>
      </w:r>
      <w:r w:rsidR="00DE121B" w:rsidRPr="00DE121B">
        <w:rPr>
          <w:rFonts w:ascii="Arial" w:hAnsi="Arial" w:cs="Arial"/>
        </w:rPr>
        <w:t>. Każdy z uczestników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projektu otrzym</w:t>
      </w:r>
      <w:r w:rsidR="00DE121B">
        <w:rPr>
          <w:rFonts w:ascii="Arial" w:hAnsi="Arial" w:cs="Arial"/>
        </w:rPr>
        <w:t xml:space="preserve">uje </w:t>
      </w:r>
      <w:r w:rsidR="00DE121B" w:rsidRPr="00DE121B">
        <w:rPr>
          <w:rFonts w:ascii="Arial" w:hAnsi="Arial" w:cs="Arial"/>
        </w:rPr>
        <w:t>ofertę wsparcia, obejmującą takie formy pomocy, które zostaną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zidentyfikowane u niego jako niezbędne w celu poprawy sytuacji na rynku pracy lub</w:t>
      </w:r>
      <w:r w:rsidR="00DE121B">
        <w:rPr>
          <w:rFonts w:ascii="Arial" w:hAnsi="Arial" w:cs="Arial"/>
        </w:rPr>
        <w:t xml:space="preserve"> </w:t>
      </w:r>
      <w:r w:rsidR="00DE121B" w:rsidRPr="00DE121B">
        <w:rPr>
          <w:rFonts w:ascii="Arial" w:hAnsi="Arial" w:cs="Arial"/>
        </w:rPr>
        <w:t>uzyskania zatrudnienia.</w:t>
      </w:r>
      <w:r w:rsidR="00DE121B">
        <w:rPr>
          <w:rFonts w:ascii="Arial" w:hAnsi="Arial" w:cs="Arial"/>
        </w:rPr>
        <w:t xml:space="preserve"> Wsparcie jest realizowane </w:t>
      </w:r>
      <w:r w:rsidR="00DE121B" w:rsidRPr="00DE121B">
        <w:rPr>
          <w:rFonts w:ascii="Arial" w:hAnsi="Arial" w:cs="Arial"/>
        </w:rPr>
        <w:t xml:space="preserve">zgodnie </w:t>
      </w:r>
      <w:r w:rsidR="00F67732">
        <w:rPr>
          <w:rFonts w:ascii="Arial" w:hAnsi="Arial" w:cs="Arial"/>
        </w:rPr>
        <w:br/>
      </w:r>
      <w:r w:rsidR="00DE121B" w:rsidRPr="00DE121B">
        <w:rPr>
          <w:rFonts w:ascii="Arial" w:hAnsi="Arial" w:cs="Arial"/>
        </w:rPr>
        <w:t xml:space="preserve">z </w:t>
      </w:r>
      <w:r w:rsidR="00DE121B" w:rsidRPr="00DE121B">
        <w:rPr>
          <w:rFonts w:ascii="Arial" w:hAnsi="Arial" w:cs="Arial"/>
          <w:i/>
        </w:rPr>
        <w:t>Wytycznymi w zakresie realizacji przedsięwzięć z udziałem środków EFS w obszarze rynku pracy na lata 2014-2020.</w:t>
      </w:r>
      <w:r w:rsidR="00F65960">
        <w:rPr>
          <w:rFonts w:ascii="Arial" w:hAnsi="Arial" w:cs="Arial"/>
          <w:i/>
        </w:rPr>
        <w:t xml:space="preserve"> </w:t>
      </w:r>
      <w:r w:rsidR="00F65960">
        <w:rPr>
          <w:rFonts w:ascii="Arial" w:hAnsi="Arial" w:cs="Arial"/>
        </w:rPr>
        <w:t xml:space="preserve">Beneficjent jest zobowiązany do zrealizowania pełnego zakresu wsparcia wynikającego z IPD. </w:t>
      </w:r>
    </w:p>
    <w:p w:rsidR="00111AD3" w:rsidRDefault="002218F0" w:rsidP="00F943EC">
      <w:pPr>
        <w:spacing w:after="120"/>
        <w:jc w:val="both"/>
        <w:rPr>
          <w:rFonts w:ascii="Arial" w:hAnsi="Arial" w:cs="Arial"/>
          <w:b/>
        </w:rPr>
      </w:pPr>
      <w:r w:rsidRPr="00122A7D">
        <w:rPr>
          <w:rFonts w:ascii="Arial" w:hAnsi="Arial" w:cs="Arial"/>
          <w:b/>
        </w:rPr>
        <w:t>Stawk</w:t>
      </w:r>
      <w:r>
        <w:rPr>
          <w:rFonts w:ascii="Arial" w:hAnsi="Arial" w:cs="Arial"/>
          <w:b/>
        </w:rPr>
        <w:t>i</w:t>
      </w:r>
      <w:r w:rsidRPr="00122A7D">
        <w:rPr>
          <w:rFonts w:ascii="Arial" w:hAnsi="Arial" w:cs="Arial"/>
          <w:b/>
        </w:rPr>
        <w:t xml:space="preserve"> </w:t>
      </w:r>
      <w:r w:rsidR="005D34BD" w:rsidRPr="00122A7D"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</w:rPr>
        <w:t xml:space="preserve">obejmują </w:t>
      </w:r>
      <w:r w:rsidR="00111AD3">
        <w:rPr>
          <w:rFonts w:ascii="Arial" w:hAnsi="Arial" w:cs="Arial"/>
          <w:b/>
        </w:rPr>
        <w:t>następujących form wsparcia:</w:t>
      </w:r>
    </w:p>
    <w:p w:rsidR="00111AD3" w:rsidRPr="001C1139" w:rsidRDefault="005D34BD" w:rsidP="00F943EC">
      <w:pPr>
        <w:pStyle w:val="Akapitzlist"/>
        <w:numPr>
          <w:ilvl w:val="0"/>
          <w:numId w:val="30"/>
        </w:numPr>
        <w:spacing w:after="120"/>
        <w:jc w:val="both"/>
        <w:rPr>
          <w:rFonts w:ascii="Arial" w:hAnsi="Arial" w:cs="Arial"/>
        </w:rPr>
      </w:pPr>
      <w:r w:rsidRPr="00111AD3">
        <w:rPr>
          <w:rFonts w:ascii="Arial" w:hAnsi="Arial" w:cs="Arial"/>
        </w:rPr>
        <w:t>dotacj</w:t>
      </w:r>
      <w:r w:rsidR="00111AD3" w:rsidRPr="00111AD3">
        <w:rPr>
          <w:rFonts w:ascii="Arial" w:hAnsi="Arial" w:cs="Arial"/>
        </w:rPr>
        <w:t>i</w:t>
      </w:r>
      <w:r w:rsidRPr="001C1139">
        <w:rPr>
          <w:rFonts w:ascii="Arial" w:hAnsi="Arial" w:cs="Arial"/>
        </w:rPr>
        <w:t xml:space="preserve"> na rozpoczęcie działalności gospodarczej i wsparci</w:t>
      </w:r>
      <w:r w:rsidR="00111AD3" w:rsidRPr="00111AD3">
        <w:rPr>
          <w:rFonts w:ascii="Arial" w:hAnsi="Arial" w:cs="Arial"/>
        </w:rPr>
        <w:t>a</w:t>
      </w:r>
      <w:r w:rsidRPr="00111AD3">
        <w:rPr>
          <w:rFonts w:ascii="Arial" w:hAnsi="Arial" w:cs="Arial"/>
        </w:rPr>
        <w:t xml:space="preserve"> </w:t>
      </w:r>
      <w:r w:rsidR="005F5DBD" w:rsidRPr="00111AD3">
        <w:rPr>
          <w:rFonts w:ascii="Arial" w:hAnsi="Arial" w:cs="Arial"/>
        </w:rPr>
        <w:t>pomostowe</w:t>
      </w:r>
      <w:r w:rsidR="00111AD3" w:rsidRPr="001C1139">
        <w:rPr>
          <w:rFonts w:ascii="Arial" w:hAnsi="Arial" w:cs="Arial"/>
        </w:rPr>
        <w:t>go,</w:t>
      </w:r>
    </w:p>
    <w:p w:rsidR="00111AD3" w:rsidRPr="00111AD3" w:rsidRDefault="00111AD3" w:rsidP="00F943EC">
      <w:pPr>
        <w:pStyle w:val="Akapitzlist"/>
        <w:numPr>
          <w:ilvl w:val="0"/>
          <w:numId w:val="30"/>
        </w:numPr>
        <w:spacing w:after="120"/>
        <w:jc w:val="both"/>
        <w:rPr>
          <w:rFonts w:ascii="Arial" w:hAnsi="Arial" w:cs="Arial"/>
        </w:rPr>
      </w:pPr>
      <w:r w:rsidRPr="00111AD3">
        <w:rPr>
          <w:rFonts w:ascii="Arial" w:hAnsi="Arial" w:cs="Arial"/>
        </w:rPr>
        <w:t xml:space="preserve">zatrudnienia </w:t>
      </w:r>
      <w:r w:rsidR="005F5DBD" w:rsidRPr="00111AD3">
        <w:rPr>
          <w:rFonts w:ascii="Arial" w:hAnsi="Arial" w:cs="Arial"/>
        </w:rPr>
        <w:t>subsydiowane</w:t>
      </w:r>
      <w:r w:rsidRPr="001C1139">
        <w:rPr>
          <w:rFonts w:ascii="Arial" w:hAnsi="Arial" w:cs="Arial"/>
        </w:rPr>
        <w:t>go,</w:t>
      </w:r>
      <w:r w:rsidR="005F5DBD" w:rsidRPr="00111AD3">
        <w:rPr>
          <w:rFonts w:ascii="Arial" w:hAnsi="Arial" w:cs="Arial"/>
        </w:rPr>
        <w:t xml:space="preserve"> </w:t>
      </w:r>
    </w:p>
    <w:p w:rsidR="00B2383A" w:rsidRDefault="005F5DBD" w:rsidP="00F943EC">
      <w:pPr>
        <w:pStyle w:val="Akapitzlist"/>
        <w:numPr>
          <w:ilvl w:val="0"/>
          <w:numId w:val="30"/>
        </w:numPr>
        <w:spacing w:after="120"/>
        <w:jc w:val="both"/>
        <w:rPr>
          <w:rFonts w:ascii="Arial" w:hAnsi="Arial" w:cs="Arial"/>
        </w:rPr>
      </w:pPr>
      <w:r w:rsidRPr="00111AD3">
        <w:rPr>
          <w:rFonts w:ascii="Arial" w:hAnsi="Arial" w:cs="Arial"/>
        </w:rPr>
        <w:t>doposażeni</w:t>
      </w:r>
      <w:r w:rsidR="00111AD3" w:rsidRPr="00111AD3">
        <w:rPr>
          <w:rFonts w:ascii="Arial" w:hAnsi="Arial" w:cs="Arial"/>
        </w:rPr>
        <w:t>a</w:t>
      </w:r>
      <w:r w:rsidRPr="00111AD3">
        <w:rPr>
          <w:rFonts w:ascii="Arial" w:hAnsi="Arial" w:cs="Arial"/>
        </w:rPr>
        <w:t xml:space="preserve"> </w:t>
      </w:r>
      <w:r w:rsidR="00F34CD0">
        <w:rPr>
          <w:rFonts w:ascii="Arial" w:hAnsi="Arial" w:cs="Arial"/>
        </w:rPr>
        <w:t xml:space="preserve">lub wyposażenia </w:t>
      </w:r>
      <w:r w:rsidRPr="00111AD3">
        <w:rPr>
          <w:rFonts w:ascii="Arial" w:hAnsi="Arial" w:cs="Arial"/>
        </w:rPr>
        <w:t>stanowiska pracy</w:t>
      </w:r>
      <w:r w:rsidR="005D34BD" w:rsidRPr="00111AD3">
        <w:rPr>
          <w:rFonts w:ascii="Arial" w:hAnsi="Arial" w:cs="Arial"/>
        </w:rPr>
        <w:t xml:space="preserve">. </w:t>
      </w:r>
    </w:p>
    <w:p w:rsidR="00D16DBD" w:rsidRPr="00D16DBD" w:rsidRDefault="001C333C" w:rsidP="00D16DB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</w:t>
      </w:r>
      <w:r w:rsidR="000446FB">
        <w:rPr>
          <w:rFonts w:ascii="Arial" w:hAnsi="Arial" w:cs="Arial"/>
        </w:rPr>
        <w:t xml:space="preserve">ww. </w:t>
      </w:r>
      <w:r w:rsidR="002218F0">
        <w:rPr>
          <w:rFonts w:ascii="Arial" w:hAnsi="Arial" w:cs="Arial"/>
        </w:rPr>
        <w:t>form</w:t>
      </w:r>
      <w:r w:rsidR="0017331F">
        <w:rPr>
          <w:rFonts w:ascii="Arial" w:hAnsi="Arial" w:cs="Arial"/>
        </w:rPr>
        <w:t>y</w:t>
      </w:r>
      <w:r w:rsidR="002218F0">
        <w:rPr>
          <w:rFonts w:ascii="Arial" w:hAnsi="Arial" w:cs="Arial"/>
        </w:rPr>
        <w:t xml:space="preserve"> wsparcia został</w:t>
      </w:r>
      <w:r w:rsidR="0017331F">
        <w:rPr>
          <w:rFonts w:ascii="Arial" w:hAnsi="Arial" w:cs="Arial"/>
        </w:rPr>
        <w:t>y</w:t>
      </w:r>
      <w:r w:rsidR="002218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zaplanowan</w:t>
      </w:r>
      <w:r w:rsidR="0017331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F71BCF">
        <w:rPr>
          <w:rFonts w:ascii="Arial" w:hAnsi="Arial" w:cs="Arial"/>
        </w:rPr>
        <w:t>w ramach danego naboru</w:t>
      </w:r>
      <w:r>
        <w:rPr>
          <w:rFonts w:ascii="Arial" w:hAnsi="Arial" w:cs="Arial"/>
        </w:rPr>
        <w:t xml:space="preserve"> – </w:t>
      </w:r>
      <w:r w:rsidR="0017331F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rozliczenie dokonywan</w:t>
      </w:r>
      <w:r w:rsidR="005C468C">
        <w:rPr>
          <w:rFonts w:ascii="Arial" w:hAnsi="Arial" w:cs="Arial"/>
        </w:rPr>
        <w:t>e jest na podstawie faktycznie ponoszonych</w:t>
      </w:r>
      <w:r w:rsidR="0094129E">
        <w:rPr>
          <w:rFonts w:ascii="Arial" w:hAnsi="Arial" w:cs="Arial"/>
        </w:rPr>
        <w:t xml:space="preserve"> </w:t>
      </w:r>
      <w:r w:rsidR="0094129E" w:rsidRPr="00362012">
        <w:rPr>
          <w:rFonts w:ascii="Arial" w:hAnsi="Arial" w:cs="Arial"/>
        </w:rPr>
        <w:t>wydatków</w:t>
      </w:r>
      <w:r w:rsidR="00D16DBD" w:rsidRPr="00362012">
        <w:rPr>
          <w:rFonts w:ascii="Arial" w:hAnsi="Arial" w:cs="Arial"/>
        </w:rPr>
        <w:t>.</w:t>
      </w:r>
    </w:p>
    <w:p w:rsidR="000B3DF9" w:rsidRDefault="000B3DF9" w:rsidP="00320AA1">
      <w:pPr>
        <w:spacing w:after="120"/>
        <w:jc w:val="both"/>
        <w:rPr>
          <w:rFonts w:ascii="Arial" w:hAnsi="Arial" w:cs="Arial"/>
        </w:rPr>
      </w:pPr>
      <w:r w:rsidRPr="00926B74">
        <w:rPr>
          <w:rFonts w:ascii="Arial" w:hAnsi="Arial" w:cs="Arial"/>
        </w:rPr>
        <w:lastRenderedPageBreak/>
        <w:t>Stawk</w:t>
      </w:r>
      <w:r w:rsidR="002218F0">
        <w:rPr>
          <w:rFonts w:ascii="Arial" w:hAnsi="Arial" w:cs="Arial"/>
        </w:rPr>
        <w:t>i</w:t>
      </w:r>
      <w:r w:rsidRPr="00926B74">
        <w:rPr>
          <w:rFonts w:ascii="Arial" w:hAnsi="Arial" w:cs="Arial"/>
        </w:rPr>
        <w:t xml:space="preserve"> jednostkow</w:t>
      </w:r>
      <w:r w:rsidR="002218F0">
        <w:rPr>
          <w:rFonts w:ascii="Arial" w:hAnsi="Arial" w:cs="Arial"/>
        </w:rPr>
        <w:t>e</w:t>
      </w:r>
      <w:r w:rsidRPr="00926B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</w:t>
      </w:r>
      <w:r w:rsidR="002218F0">
        <w:rPr>
          <w:rFonts w:ascii="Arial" w:hAnsi="Arial" w:cs="Arial"/>
        </w:rPr>
        <w:t>j</w:t>
      </w:r>
      <w:r w:rsidR="00362012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również zastosowanie </w:t>
      </w:r>
      <w:r w:rsidRPr="00682511">
        <w:rPr>
          <w:rFonts w:ascii="Arial" w:hAnsi="Arial" w:cs="Arial"/>
        </w:rPr>
        <w:t xml:space="preserve">w projektach, w ramach których udzielane jest wsparcie osobom </w:t>
      </w:r>
      <w:r w:rsidR="0066158A">
        <w:rPr>
          <w:rFonts w:ascii="Arial" w:hAnsi="Arial" w:cs="Arial"/>
        </w:rPr>
        <w:t xml:space="preserve">z </w:t>
      </w:r>
      <w:r w:rsidRPr="00682511">
        <w:rPr>
          <w:rFonts w:ascii="Arial" w:hAnsi="Arial" w:cs="Arial"/>
        </w:rPr>
        <w:t>niepełnosprawn</w:t>
      </w:r>
      <w:r w:rsidR="0066158A">
        <w:rPr>
          <w:rFonts w:ascii="Arial" w:hAnsi="Arial" w:cs="Arial"/>
        </w:rPr>
        <w:t>ościami</w:t>
      </w:r>
      <w:r w:rsidRPr="00682511">
        <w:rPr>
          <w:rFonts w:ascii="Arial" w:hAnsi="Arial" w:cs="Arial"/>
        </w:rPr>
        <w:t>.</w:t>
      </w:r>
    </w:p>
    <w:p w:rsidR="00D16DBD" w:rsidRDefault="00D16DBD" w:rsidP="000B3DF9">
      <w:pPr>
        <w:jc w:val="both"/>
        <w:rPr>
          <w:rFonts w:ascii="Arial" w:hAnsi="Arial" w:cs="Arial"/>
        </w:rPr>
      </w:pPr>
    </w:p>
    <w:p w:rsidR="00F34CD0" w:rsidRDefault="00A25635" w:rsidP="00F943EC">
      <w:pPr>
        <w:pStyle w:val="Nagwek1"/>
        <w:numPr>
          <w:ilvl w:val="0"/>
          <w:numId w:val="3"/>
        </w:numPr>
        <w:spacing w:after="120"/>
        <w:rPr>
          <w:rFonts w:ascii="Arial" w:hAnsi="Arial" w:cs="Arial"/>
          <w:sz w:val="20"/>
        </w:rPr>
      </w:pPr>
      <w:bookmarkStart w:id="23" w:name="_Toc510000083"/>
      <w:bookmarkStart w:id="24" w:name="_Toc510100703"/>
      <w:bookmarkEnd w:id="23"/>
      <w:r>
        <w:rPr>
          <w:rFonts w:ascii="Arial" w:hAnsi="Arial" w:cs="Arial"/>
          <w:sz w:val="20"/>
        </w:rPr>
        <w:t xml:space="preserve">Wysokość </w:t>
      </w:r>
      <w:r w:rsidR="00F34CD0" w:rsidRPr="00805B64">
        <w:rPr>
          <w:rFonts w:ascii="Arial" w:hAnsi="Arial" w:cs="Arial"/>
          <w:sz w:val="20"/>
        </w:rPr>
        <w:t>staw</w:t>
      </w:r>
      <w:r w:rsidR="00D062A5">
        <w:rPr>
          <w:rFonts w:ascii="Arial" w:hAnsi="Arial" w:cs="Arial"/>
          <w:sz w:val="20"/>
        </w:rPr>
        <w:t>ek</w:t>
      </w:r>
      <w:r>
        <w:rPr>
          <w:rFonts w:ascii="Arial" w:hAnsi="Arial" w:cs="Arial"/>
          <w:sz w:val="20"/>
        </w:rPr>
        <w:t xml:space="preserve"> jednostkowych</w:t>
      </w:r>
      <w:bookmarkEnd w:id="24"/>
    </w:p>
    <w:p w:rsidR="00C63C42" w:rsidRPr="00BD2994" w:rsidRDefault="00C63C42" w:rsidP="00BD2994"/>
    <w:p w:rsidR="00A81368" w:rsidRDefault="00805B64" w:rsidP="00BD2994">
      <w:pPr>
        <w:rPr>
          <w:rFonts w:ascii="Arial" w:hAnsi="Arial" w:cs="Arial"/>
          <w:b/>
        </w:rPr>
      </w:pPr>
      <w:r w:rsidRPr="00BD2994">
        <w:rPr>
          <w:rFonts w:ascii="Arial" w:hAnsi="Arial" w:cs="Arial"/>
          <w:b/>
        </w:rPr>
        <w:t>4.1 Stawka jednostkowa aktywizacji zawodowej osób młodych</w:t>
      </w:r>
      <w:r>
        <w:rPr>
          <w:rFonts w:ascii="Arial" w:hAnsi="Arial" w:cs="Arial"/>
          <w:b/>
        </w:rPr>
        <w:t xml:space="preserve"> </w:t>
      </w:r>
      <w:r w:rsidR="00236665" w:rsidRPr="00154D84">
        <w:rPr>
          <w:rFonts w:ascii="Arial" w:hAnsi="Arial" w:cs="Arial"/>
          <w:b/>
        </w:rPr>
        <w:t>niepracujących</w:t>
      </w:r>
    </w:p>
    <w:p w:rsidR="00154D84" w:rsidRPr="00805B64" w:rsidRDefault="00154D84" w:rsidP="00BD2994">
      <w:pPr>
        <w:rPr>
          <w:rFonts w:ascii="Arial" w:hAnsi="Arial" w:cs="Arial"/>
        </w:rPr>
      </w:pPr>
    </w:p>
    <w:p w:rsidR="00F34CD0" w:rsidRPr="000B3DF9" w:rsidRDefault="000B3DF9" w:rsidP="000B3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left" w:pos="6361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F34CD0" w:rsidRPr="000B3DF9">
        <w:rPr>
          <w:rFonts w:ascii="Arial" w:hAnsi="Arial" w:cs="Arial"/>
          <w:b/>
        </w:rPr>
        <w:t>11 550 zł</w:t>
      </w:r>
      <w:r w:rsidRPr="000B3DF9">
        <w:rPr>
          <w:rFonts w:ascii="Arial" w:hAnsi="Arial" w:cs="Arial"/>
          <w:b/>
        </w:rPr>
        <w:tab/>
      </w:r>
    </w:p>
    <w:p w:rsidR="00F943EC" w:rsidRDefault="00F943EC" w:rsidP="00D76C67">
      <w:pPr>
        <w:spacing w:after="120"/>
        <w:jc w:val="both"/>
        <w:rPr>
          <w:rFonts w:ascii="Arial" w:hAnsi="Arial" w:cs="Arial"/>
        </w:rPr>
      </w:pPr>
      <w:r w:rsidRPr="00B8640E">
        <w:rPr>
          <w:rFonts w:ascii="Arial" w:hAnsi="Arial" w:cs="Arial"/>
        </w:rPr>
        <w:t xml:space="preserve">Stawka jednostkowa </w:t>
      </w:r>
      <w:r w:rsidRPr="000B3DF9">
        <w:rPr>
          <w:rFonts w:ascii="Arial" w:hAnsi="Arial" w:cs="Arial"/>
          <w:u w:val="single"/>
        </w:rPr>
        <w:t>nie obejmuje kosztów pośrednich</w:t>
      </w:r>
      <w:r w:rsidRPr="00B8640E">
        <w:rPr>
          <w:rFonts w:ascii="Arial" w:hAnsi="Arial" w:cs="Arial"/>
        </w:rPr>
        <w:t>, wobec tego beneficjentowi przysługują koszty pośrednie naliczone od rozliczonej i zatwierdzonej stawki jednostkowej.</w:t>
      </w:r>
    </w:p>
    <w:p w:rsidR="000B3DF9" w:rsidRDefault="000B3DF9" w:rsidP="002218F0">
      <w:pPr>
        <w:spacing w:after="120"/>
        <w:jc w:val="both"/>
        <w:rPr>
          <w:rFonts w:ascii="Arial" w:hAnsi="Arial" w:cs="Arial"/>
        </w:rPr>
      </w:pPr>
      <w:r w:rsidRPr="000B3DF9">
        <w:rPr>
          <w:rFonts w:ascii="Arial" w:hAnsi="Arial" w:cs="Arial"/>
        </w:rPr>
        <w:t xml:space="preserve">Stawka jednostkowa </w:t>
      </w:r>
      <w:r w:rsidRPr="000B3DF9">
        <w:rPr>
          <w:rFonts w:ascii="Arial" w:hAnsi="Arial" w:cs="Arial"/>
          <w:u w:val="single"/>
        </w:rPr>
        <w:t>nie obejmuje kosztów wynikających z zastosowania mechanizmu racjonalnych usprawnień</w:t>
      </w:r>
      <w:r w:rsidRPr="000B3DF9">
        <w:rPr>
          <w:rFonts w:ascii="Arial" w:hAnsi="Arial" w:cs="Arial"/>
        </w:rPr>
        <w:t xml:space="preserve">. </w:t>
      </w:r>
    </w:p>
    <w:p w:rsidR="002516D9" w:rsidRPr="00F943EC" w:rsidRDefault="002516D9" w:rsidP="00D41594">
      <w:pPr>
        <w:spacing w:after="120"/>
        <w:rPr>
          <w:rFonts w:ascii="Arial" w:hAnsi="Arial" w:cs="Arial"/>
        </w:rPr>
      </w:pPr>
      <w:r w:rsidRPr="002516D9">
        <w:rPr>
          <w:rFonts w:ascii="Arial" w:hAnsi="Arial" w:cs="Arial"/>
        </w:rPr>
        <w:t>Beneficjent otrzymuje</w:t>
      </w:r>
      <w:r w:rsidR="0066158A">
        <w:rPr>
          <w:rStyle w:val="Odwoanieprzypisudolnego"/>
          <w:rFonts w:ascii="Arial" w:hAnsi="Arial" w:cs="Arial"/>
        </w:rPr>
        <w:footnoteReference w:id="2"/>
      </w:r>
      <w:r w:rsidRPr="002516D9">
        <w:rPr>
          <w:rFonts w:ascii="Arial" w:hAnsi="Arial" w:cs="Arial"/>
        </w:rPr>
        <w:t>:</w:t>
      </w:r>
    </w:p>
    <w:p w:rsidR="006C733C" w:rsidRPr="00F943EC" w:rsidRDefault="00F34CD0" w:rsidP="00F943EC">
      <w:pPr>
        <w:pStyle w:val="Akapitzlist"/>
        <w:numPr>
          <w:ilvl w:val="0"/>
          <w:numId w:val="31"/>
        </w:numPr>
        <w:spacing w:after="120"/>
        <w:ind w:left="709" w:hanging="425"/>
        <w:contextualSpacing w:val="0"/>
        <w:jc w:val="both"/>
        <w:rPr>
          <w:rFonts w:ascii="Arial" w:hAnsi="Arial" w:cs="Arial"/>
          <w:b/>
        </w:rPr>
      </w:pPr>
      <w:r w:rsidRPr="00F943EC">
        <w:rPr>
          <w:rFonts w:ascii="Arial" w:hAnsi="Arial" w:cs="Arial"/>
          <w:b/>
        </w:rPr>
        <w:t xml:space="preserve">90% </w:t>
      </w:r>
      <w:r w:rsidRPr="00F943EC">
        <w:rPr>
          <w:rFonts w:ascii="Arial" w:hAnsi="Arial" w:cs="Arial"/>
        </w:rPr>
        <w:t>stawki jednostkowej, tj.</w:t>
      </w:r>
      <w:r w:rsidR="002516D9" w:rsidRPr="00F943EC">
        <w:rPr>
          <w:rFonts w:ascii="Arial" w:hAnsi="Arial" w:cs="Arial"/>
        </w:rPr>
        <w:t xml:space="preserve"> 10 395 zł</w:t>
      </w:r>
      <w:r w:rsidRPr="00F943EC">
        <w:rPr>
          <w:rFonts w:ascii="Arial" w:hAnsi="Arial" w:cs="Arial"/>
        </w:rPr>
        <w:t xml:space="preserve">, </w:t>
      </w:r>
      <w:r w:rsidR="00741F72">
        <w:rPr>
          <w:rFonts w:ascii="Arial" w:hAnsi="Arial" w:cs="Arial"/>
        </w:rPr>
        <w:t>za</w:t>
      </w:r>
      <w:r w:rsidRPr="00F943EC">
        <w:rPr>
          <w:rFonts w:ascii="Arial" w:hAnsi="Arial" w:cs="Arial"/>
        </w:rPr>
        <w:t xml:space="preserve"> zrealizowani</w:t>
      </w:r>
      <w:r w:rsidR="00741F72">
        <w:rPr>
          <w:rFonts w:ascii="Arial" w:hAnsi="Arial" w:cs="Arial"/>
        </w:rPr>
        <w:t>e</w:t>
      </w:r>
      <w:r w:rsidRPr="00F943EC">
        <w:rPr>
          <w:rFonts w:ascii="Arial" w:hAnsi="Arial" w:cs="Arial"/>
        </w:rPr>
        <w:t xml:space="preserve"> usług aktywizacji zawodowej zgodnych z zakresem </w:t>
      </w:r>
      <w:r w:rsidR="002516D9" w:rsidRPr="00F943EC">
        <w:rPr>
          <w:rFonts w:ascii="Arial" w:hAnsi="Arial" w:cs="Arial"/>
        </w:rPr>
        <w:t xml:space="preserve">stawki jednostkowej </w:t>
      </w:r>
      <w:r w:rsidR="006C733C" w:rsidRPr="00F943EC">
        <w:rPr>
          <w:rFonts w:ascii="Arial" w:hAnsi="Arial" w:cs="Arial"/>
        </w:rPr>
        <w:t xml:space="preserve">wskazanym w pkt 3, </w:t>
      </w:r>
    </w:p>
    <w:p w:rsidR="006C733C" w:rsidRPr="00F943EC" w:rsidRDefault="00F34CD0" w:rsidP="00E666D9">
      <w:pPr>
        <w:pStyle w:val="Akapitzlist"/>
        <w:numPr>
          <w:ilvl w:val="0"/>
          <w:numId w:val="31"/>
        </w:numPr>
        <w:spacing w:after="120"/>
        <w:contextualSpacing w:val="0"/>
        <w:jc w:val="both"/>
        <w:rPr>
          <w:rFonts w:ascii="Arial" w:hAnsi="Arial" w:cs="Arial"/>
          <w:u w:val="single"/>
        </w:rPr>
      </w:pPr>
      <w:r w:rsidRPr="00F943EC">
        <w:rPr>
          <w:rFonts w:ascii="Arial" w:hAnsi="Arial" w:cs="Arial"/>
          <w:b/>
        </w:rPr>
        <w:t xml:space="preserve">10% </w:t>
      </w:r>
      <w:r w:rsidRPr="00F943EC">
        <w:rPr>
          <w:rFonts w:ascii="Arial" w:hAnsi="Arial" w:cs="Arial"/>
        </w:rPr>
        <w:t>stawki jednostkowej, tj.</w:t>
      </w:r>
      <w:r w:rsidR="006C733C" w:rsidRPr="00F943EC">
        <w:rPr>
          <w:rFonts w:ascii="Arial" w:hAnsi="Arial" w:cs="Arial"/>
        </w:rPr>
        <w:t xml:space="preserve"> 1 155 zł, za doprowadzenie każdego uczestnika do zatrudnienia</w:t>
      </w:r>
      <w:r w:rsidR="003C58EE" w:rsidRPr="003C58EE">
        <w:rPr>
          <w:rFonts w:ascii="Arial" w:hAnsi="Arial" w:cs="Arial"/>
          <w:color w:val="000000"/>
        </w:rPr>
        <w:t xml:space="preserve"> </w:t>
      </w:r>
      <w:r w:rsidR="004C2FBC">
        <w:rPr>
          <w:rFonts w:ascii="Arial" w:hAnsi="Arial" w:cs="Arial"/>
          <w:color w:val="000000"/>
        </w:rPr>
        <w:t>spełniającego kryterium efektywności zatrudnieniowej</w:t>
      </w:r>
      <w:r w:rsidR="00E666D9">
        <w:rPr>
          <w:rStyle w:val="Odwoanieprzypisudolnego"/>
          <w:rFonts w:ascii="Arial" w:hAnsi="Arial" w:cs="Arial"/>
        </w:rPr>
        <w:footnoteReference w:id="3"/>
      </w:r>
      <w:r w:rsidR="006C733C" w:rsidRPr="00F943EC">
        <w:rPr>
          <w:rFonts w:ascii="Arial" w:hAnsi="Arial" w:cs="Arial"/>
        </w:rPr>
        <w:t xml:space="preserve">, przy czym ta stawka jednostkowa wypłacana jest </w:t>
      </w:r>
      <w:r w:rsidRPr="00F943EC">
        <w:rPr>
          <w:rFonts w:ascii="Arial" w:hAnsi="Arial" w:cs="Arial"/>
        </w:rPr>
        <w:t>jedynie</w:t>
      </w:r>
      <w:r w:rsidR="00882E68">
        <w:rPr>
          <w:rFonts w:ascii="Arial" w:hAnsi="Arial" w:cs="Arial"/>
        </w:rPr>
        <w:t xml:space="preserve"> </w:t>
      </w:r>
      <w:r w:rsidRPr="00F943EC">
        <w:rPr>
          <w:rFonts w:ascii="Arial" w:hAnsi="Arial" w:cs="Arial"/>
        </w:rPr>
        <w:t xml:space="preserve">w sytuacji, gdy </w:t>
      </w:r>
      <w:r w:rsidR="006C733C" w:rsidRPr="00F943EC">
        <w:rPr>
          <w:rFonts w:ascii="Arial" w:hAnsi="Arial" w:cs="Arial"/>
        </w:rPr>
        <w:t xml:space="preserve">beneficjent jest uprawniony do otrzymania </w:t>
      </w:r>
      <w:r w:rsidRPr="00F943EC">
        <w:rPr>
          <w:rFonts w:ascii="Arial" w:hAnsi="Arial" w:cs="Arial"/>
        </w:rPr>
        <w:t>stawk</w:t>
      </w:r>
      <w:r w:rsidR="006C733C" w:rsidRPr="00F943EC">
        <w:rPr>
          <w:rFonts w:ascii="Arial" w:hAnsi="Arial" w:cs="Arial"/>
        </w:rPr>
        <w:t xml:space="preserve">i jednostkowej, o której mowa w lit. </w:t>
      </w:r>
      <w:r w:rsidRPr="00F943EC">
        <w:rPr>
          <w:rFonts w:ascii="Arial" w:hAnsi="Arial" w:cs="Arial"/>
        </w:rPr>
        <w:t>a</w:t>
      </w:r>
      <w:r w:rsidR="006C733C" w:rsidRPr="00F943EC">
        <w:rPr>
          <w:rFonts w:ascii="Arial" w:hAnsi="Arial" w:cs="Arial"/>
        </w:rPr>
        <w:t>)</w:t>
      </w:r>
      <w:r w:rsidR="00682511">
        <w:rPr>
          <w:rStyle w:val="Odwoanieprzypisudolnego"/>
          <w:rFonts w:ascii="Arial" w:hAnsi="Arial" w:cs="Arial"/>
        </w:rPr>
        <w:footnoteReference w:id="4"/>
      </w:r>
      <w:r w:rsidR="006C733C" w:rsidRPr="00F943EC">
        <w:rPr>
          <w:rFonts w:ascii="Arial" w:hAnsi="Arial" w:cs="Arial"/>
        </w:rPr>
        <w:t xml:space="preserve">, </w:t>
      </w:r>
    </w:p>
    <w:p w:rsidR="000446FB" w:rsidRPr="000446FB" w:rsidRDefault="002516D9" w:rsidP="000446FB">
      <w:pPr>
        <w:pStyle w:val="Akapitzlist"/>
        <w:numPr>
          <w:ilvl w:val="0"/>
          <w:numId w:val="31"/>
        </w:numPr>
        <w:spacing w:after="120"/>
        <w:ind w:left="709" w:hanging="425"/>
        <w:contextualSpacing w:val="0"/>
        <w:jc w:val="both"/>
        <w:rPr>
          <w:rFonts w:ascii="Arial" w:hAnsi="Arial" w:cs="Arial"/>
          <w:color w:val="000000"/>
          <w:u w:val="single"/>
        </w:rPr>
      </w:pPr>
      <w:r w:rsidRPr="00F943EC">
        <w:rPr>
          <w:rFonts w:ascii="Arial" w:hAnsi="Arial" w:cs="Arial"/>
          <w:b/>
          <w:color w:val="000000"/>
        </w:rPr>
        <w:t>50%</w:t>
      </w:r>
      <w:r w:rsidRPr="00F943EC">
        <w:rPr>
          <w:rFonts w:ascii="Arial" w:hAnsi="Arial" w:cs="Arial"/>
          <w:color w:val="000000"/>
        </w:rPr>
        <w:t xml:space="preserve"> </w:t>
      </w:r>
      <w:r w:rsidR="006C733C">
        <w:rPr>
          <w:rFonts w:ascii="Arial" w:hAnsi="Arial" w:cs="Arial"/>
          <w:color w:val="000000"/>
        </w:rPr>
        <w:t xml:space="preserve">stawki jednostkowej, tj. </w:t>
      </w:r>
      <w:r w:rsidR="006C733C" w:rsidRPr="00C345F0">
        <w:rPr>
          <w:rFonts w:ascii="Arial" w:hAnsi="Arial" w:cs="Arial"/>
        </w:rPr>
        <w:t>5 775 zł</w:t>
      </w:r>
      <w:r w:rsidR="006C733C">
        <w:rPr>
          <w:rFonts w:ascii="Arial" w:hAnsi="Arial" w:cs="Arial"/>
        </w:rPr>
        <w:t xml:space="preserve">, </w:t>
      </w:r>
      <w:r w:rsidR="006C733C">
        <w:rPr>
          <w:rFonts w:ascii="Arial" w:hAnsi="Arial" w:cs="Arial"/>
          <w:color w:val="000000"/>
        </w:rPr>
        <w:t>g</w:t>
      </w:r>
      <w:r w:rsidR="005A7F78" w:rsidRPr="00F943EC">
        <w:rPr>
          <w:rFonts w:ascii="Arial" w:hAnsi="Arial" w:cs="Arial"/>
          <w:color w:val="000000"/>
        </w:rPr>
        <w:t xml:space="preserve">dy uczestnik </w:t>
      </w:r>
      <w:r w:rsidR="006C733C" w:rsidRPr="00C87D0C">
        <w:rPr>
          <w:rFonts w:ascii="Arial" w:hAnsi="Arial" w:cs="Arial"/>
          <w:color w:val="000000"/>
        </w:rPr>
        <w:t xml:space="preserve">przerwie udział w projekcie </w:t>
      </w:r>
      <w:r w:rsidR="006C733C">
        <w:rPr>
          <w:rFonts w:ascii="Arial" w:hAnsi="Arial" w:cs="Arial"/>
          <w:color w:val="000000"/>
        </w:rPr>
        <w:t xml:space="preserve">w związku </w:t>
      </w:r>
      <w:r w:rsidR="006C733C">
        <w:rPr>
          <w:rFonts w:ascii="Arial" w:hAnsi="Arial" w:cs="Arial"/>
          <w:color w:val="000000"/>
        </w:rPr>
        <w:br/>
        <w:t xml:space="preserve">z podjęciem zatrudnienia </w:t>
      </w:r>
      <w:r w:rsidR="004C2FBC">
        <w:rPr>
          <w:rFonts w:ascii="Arial" w:hAnsi="Arial" w:cs="Arial"/>
          <w:color w:val="000000"/>
        </w:rPr>
        <w:t xml:space="preserve">spełniającego kryterium efektywności zatrudnieniowej </w:t>
      </w:r>
      <w:r w:rsidR="006C733C">
        <w:rPr>
          <w:rFonts w:ascii="Arial" w:hAnsi="Arial" w:cs="Arial"/>
          <w:color w:val="000000"/>
        </w:rPr>
        <w:t xml:space="preserve">i jednocześnie w ramach projektu dla uczestnika opracowano </w:t>
      </w:r>
      <w:r w:rsidR="006C733C" w:rsidRPr="006C733C">
        <w:rPr>
          <w:rFonts w:ascii="Arial" w:hAnsi="Arial" w:cs="Arial"/>
          <w:color w:val="000000"/>
        </w:rPr>
        <w:t>IPD</w:t>
      </w:r>
      <w:r w:rsidR="0017331F">
        <w:rPr>
          <w:rFonts w:ascii="Arial" w:hAnsi="Arial" w:cs="Arial"/>
          <w:color w:val="000000"/>
        </w:rPr>
        <w:t xml:space="preserve"> </w:t>
      </w:r>
      <w:r w:rsidR="006C733C" w:rsidRPr="006C733C">
        <w:rPr>
          <w:rFonts w:ascii="Arial" w:hAnsi="Arial" w:cs="Arial"/>
          <w:color w:val="000000"/>
        </w:rPr>
        <w:t xml:space="preserve">lub inny dokument pełniący analogiczną funkcję </w:t>
      </w:r>
      <w:r w:rsidR="006C733C">
        <w:rPr>
          <w:rFonts w:ascii="Arial" w:hAnsi="Arial" w:cs="Arial"/>
          <w:color w:val="000000"/>
        </w:rPr>
        <w:t xml:space="preserve">oraz w chwili podjęcia zatrudnienia uczestnik brał udział przynajmniej w jednej z form wsparcia przewidzianych w </w:t>
      </w:r>
      <w:r w:rsidR="00F943EC" w:rsidRPr="00F943EC">
        <w:rPr>
          <w:rFonts w:ascii="Arial" w:hAnsi="Arial" w:cs="Arial"/>
          <w:color w:val="000000"/>
        </w:rPr>
        <w:t>IPD</w:t>
      </w:r>
      <w:r w:rsidR="0017331F">
        <w:rPr>
          <w:rFonts w:ascii="Arial" w:hAnsi="Arial" w:cs="Arial"/>
          <w:color w:val="000000"/>
        </w:rPr>
        <w:t xml:space="preserve"> </w:t>
      </w:r>
      <w:r w:rsidR="00F943EC" w:rsidRPr="00F943EC">
        <w:rPr>
          <w:rFonts w:ascii="Arial" w:hAnsi="Arial" w:cs="Arial"/>
          <w:color w:val="000000"/>
        </w:rPr>
        <w:t xml:space="preserve">lub </w:t>
      </w:r>
      <w:r w:rsidR="00F943EC">
        <w:rPr>
          <w:rFonts w:ascii="Arial" w:hAnsi="Arial" w:cs="Arial"/>
          <w:color w:val="000000"/>
        </w:rPr>
        <w:t>analogicznym dokumencie</w:t>
      </w:r>
      <w:r w:rsidR="00503177">
        <w:rPr>
          <w:rFonts w:ascii="Arial" w:hAnsi="Arial" w:cs="Arial"/>
          <w:color w:val="000000"/>
        </w:rPr>
        <w:t>,</w:t>
      </w:r>
      <w:r w:rsidR="00C16885">
        <w:rPr>
          <w:rFonts w:ascii="Arial" w:hAnsi="Arial" w:cs="Arial"/>
          <w:color w:val="000000"/>
        </w:rPr>
        <w:t xml:space="preserve"> innej niż </w:t>
      </w:r>
      <w:r w:rsidR="00503177">
        <w:rPr>
          <w:rFonts w:ascii="Arial" w:hAnsi="Arial" w:cs="Arial"/>
          <w:color w:val="000000"/>
        </w:rPr>
        <w:t xml:space="preserve">obligatoryjnej: </w:t>
      </w:r>
      <w:r w:rsidR="00C16885">
        <w:rPr>
          <w:rFonts w:ascii="Arial" w:hAnsi="Arial" w:cs="Arial"/>
          <w:color w:val="000000"/>
        </w:rPr>
        <w:t>pośrednictwo</w:t>
      </w:r>
      <w:r w:rsidR="00503177">
        <w:rPr>
          <w:rFonts w:ascii="Arial" w:hAnsi="Arial" w:cs="Arial"/>
          <w:color w:val="000000"/>
        </w:rPr>
        <w:t xml:space="preserve"> pracy </w:t>
      </w:r>
      <w:r w:rsidR="000446FB" w:rsidRPr="000446FB">
        <w:rPr>
          <w:rFonts w:ascii="Arial" w:hAnsi="Arial" w:cs="Arial"/>
          <w:color w:val="000000"/>
        </w:rPr>
        <w:t xml:space="preserve">i poradnictwo zawodowe. </w:t>
      </w:r>
    </w:p>
    <w:p w:rsidR="00F943EC" w:rsidRDefault="00F943EC" w:rsidP="00F943E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jednostkowa nie będzie </w:t>
      </w:r>
      <w:r w:rsidR="00741F72">
        <w:rPr>
          <w:rFonts w:ascii="Arial" w:hAnsi="Arial" w:cs="Arial"/>
        </w:rPr>
        <w:t xml:space="preserve">kwalifikowalna </w:t>
      </w:r>
      <w:r>
        <w:rPr>
          <w:rFonts w:ascii="Arial" w:hAnsi="Arial" w:cs="Arial"/>
        </w:rPr>
        <w:t>w ogóle w</w:t>
      </w:r>
      <w:r w:rsidRPr="00F943EC">
        <w:rPr>
          <w:rFonts w:ascii="Arial" w:hAnsi="Arial" w:cs="Arial"/>
        </w:rPr>
        <w:t xml:space="preserve"> przypadku</w:t>
      </w:r>
      <w:r>
        <w:rPr>
          <w:rFonts w:ascii="Arial" w:hAnsi="Arial" w:cs="Arial"/>
        </w:rPr>
        <w:t>,</w:t>
      </w:r>
      <w:r w:rsidRPr="00F943EC">
        <w:rPr>
          <w:rFonts w:ascii="Arial" w:hAnsi="Arial" w:cs="Arial"/>
        </w:rPr>
        <w:t xml:space="preserve"> gdy uczestnik przerwie udział </w:t>
      </w:r>
      <w:r>
        <w:rPr>
          <w:rFonts w:ascii="Arial" w:hAnsi="Arial" w:cs="Arial"/>
        </w:rPr>
        <w:br/>
      </w:r>
      <w:r w:rsidRPr="00F943EC">
        <w:rPr>
          <w:rFonts w:ascii="Arial" w:hAnsi="Arial" w:cs="Arial"/>
        </w:rPr>
        <w:t>w projekcie w związku z podjęciem zatrudnienia</w:t>
      </w:r>
      <w:r>
        <w:rPr>
          <w:rFonts w:ascii="Arial" w:hAnsi="Arial" w:cs="Arial"/>
        </w:rPr>
        <w:t xml:space="preserve">, a </w:t>
      </w:r>
      <w:r w:rsidR="001F6D4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r</w:t>
      </w:r>
      <w:r w:rsidRPr="00F943EC">
        <w:rPr>
          <w:rFonts w:ascii="Arial" w:hAnsi="Arial" w:cs="Arial"/>
        </w:rPr>
        <w:t xml:space="preserve">amach projektu opracowano </w:t>
      </w:r>
      <w:r>
        <w:rPr>
          <w:rFonts w:ascii="Arial" w:hAnsi="Arial" w:cs="Arial"/>
        </w:rPr>
        <w:t xml:space="preserve">dla niego jedynie </w:t>
      </w:r>
      <w:r w:rsidRPr="00F943EC">
        <w:rPr>
          <w:rFonts w:ascii="Arial" w:hAnsi="Arial" w:cs="Arial"/>
        </w:rPr>
        <w:t>IPD</w:t>
      </w:r>
      <w:r w:rsidR="008402F3">
        <w:rPr>
          <w:rFonts w:ascii="Arial" w:hAnsi="Arial" w:cs="Arial"/>
        </w:rPr>
        <w:t xml:space="preserve"> </w:t>
      </w:r>
      <w:r w:rsidRPr="00F943EC">
        <w:rPr>
          <w:rFonts w:ascii="Arial" w:hAnsi="Arial" w:cs="Arial"/>
        </w:rPr>
        <w:t>lub inny dokument pełniący analogiczną funkcję</w:t>
      </w:r>
      <w:r w:rsidR="005B5783">
        <w:rPr>
          <w:rFonts w:ascii="Arial" w:hAnsi="Arial" w:cs="Arial"/>
        </w:rPr>
        <w:t xml:space="preserve"> lub opracowano dla niego </w:t>
      </w:r>
      <w:r w:rsidR="008402F3">
        <w:rPr>
          <w:rFonts w:ascii="Arial" w:hAnsi="Arial" w:cs="Arial"/>
        </w:rPr>
        <w:t>IP</w:t>
      </w:r>
      <w:r w:rsidR="005B5783">
        <w:rPr>
          <w:rFonts w:ascii="Arial" w:hAnsi="Arial" w:cs="Arial"/>
        </w:rPr>
        <w:t>D</w:t>
      </w:r>
      <w:r w:rsidR="008402F3">
        <w:rPr>
          <w:rFonts w:ascii="Arial" w:hAnsi="Arial" w:cs="Arial"/>
        </w:rPr>
        <w:t xml:space="preserve"> </w:t>
      </w:r>
      <w:r w:rsidR="005B5783">
        <w:rPr>
          <w:rFonts w:ascii="Arial" w:hAnsi="Arial" w:cs="Arial"/>
        </w:rPr>
        <w:t xml:space="preserve">lub inny dokument pełniący analogiczną funkcję oraz dodatkowo objęto go wsparciem jedynie formami obligatoryjnymi, </w:t>
      </w:r>
      <w:r w:rsidR="008402F3">
        <w:rPr>
          <w:rFonts w:ascii="Arial" w:hAnsi="Arial" w:cs="Arial"/>
        </w:rPr>
        <w:br/>
      </w:r>
      <w:r w:rsidR="005B5783">
        <w:rPr>
          <w:rFonts w:ascii="Arial" w:hAnsi="Arial" w:cs="Arial"/>
        </w:rPr>
        <w:t>tj</w:t>
      </w:r>
      <w:r w:rsidR="00CD1751">
        <w:rPr>
          <w:rFonts w:ascii="Arial" w:hAnsi="Arial" w:cs="Arial"/>
        </w:rPr>
        <w:t>.</w:t>
      </w:r>
      <w:r w:rsidR="005B5783">
        <w:rPr>
          <w:rFonts w:ascii="Arial" w:hAnsi="Arial" w:cs="Arial"/>
        </w:rPr>
        <w:t xml:space="preserve"> pośrednictwem pracy lub poradnictwem zawodowym</w:t>
      </w:r>
      <w:r w:rsidRPr="00F943EC">
        <w:rPr>
          <w:rFonts w:ascii="Arial" w:hAnsi="Arial" w:cs="Arial"/>
        </w:rPr>
        <w:t>.</w:t>
      </w:r>
      <w:r w:rsidR="0068005E">
        <w:rPr>
          <w:rFonts w:ascii="Arial" w:hAnsi="Arial" w:cs="Arial"/>
        </w:rPr>
        <w:t xml:space="preserve"> Stawka jednostkowa nie będzie również kwalifikowalna w ogóle w przypadku, gdy uczestnik projektu przerwie udział w projekcie z innych powodów niż podjęcie zatrudnienia.</w:t>
      </w:r>
    </w:p>
    <w:p w:rsidR="00236665" w:rsidRDefault="00236665" w:rsidP="00F943EC">
      <w:pPr>
        <w:spacing w:after="120"/>
        <w:jc w:val="both"/>
        <w:rPr>
          <w:rFonts w:ascii="Arial" w:hAnsi="Arial" w:cs="Arial"/>
        </w:rPr>
      </w:pPr>
    </w:p>
    <w:p w:rsidR="00805B64" w:rsidRPr="00F97F76" w:rsidRDefault="00805B64" w:rsidP="00805B64">
      <w:pPr>
        <w:rPr>
          <w:rFonts w:ascii="Arial" w:hAnsi="Arial" w:cs="Arial"/>
          <w:b/>
        </w:rPr>
      </w:pPr>
      <w:r w:rsidRPr="00AC6A5D">
        <w:rPr>
          <w:rFonts w:ascii="Arial" w:hAnsi="Arial" w:cs="Arial"/>
          <w:b/>
        </w:rPr>
        <w:t xml:space="preserve">4.2 Stawka jednostkowa </w:t>
      </w:r>
      <w:r w:rsidR="00411F41">
        <w:rPr>
          <w:rFonts w:ascii="Arial" w:hAnsi="Arial" w:cs="Arial"/>
          <w:b/>
        </w:rPr>
        <w:t>wsparcia</w:t>
      </w:r>
      <w:r w:rsidRPr="00AC6A5D">
        <w:rPr>
          <w:rFonts w:ascii="Arial" w:hAnsi="Arial" w:cs="Arial"/>
          <w:b/>
        </w:rPr>
        <w:t xml:space="preserve"> osób młodych </w:t>
      </w:r>
      <w:r w:rsidRPr="00F97F76">
        <w:rPr>
          <w:rFonts w:ascii="Arial" w:hAnsi="Arial" w:cs="Arial"/>
          <w:b/>
        </w:rPr>
        <w:t>pracujących</w:t>
      </w:r>
    </w:p>
    <w:p w:rsidR="00805B64" w:rsidRPr="00805B64" w:rsidRDefault="00805B64" w:rsidP="00805B64">
      <w:pPr>
        <w:rPr>
          <w:rFonts w:ascii="Arial" w:hAnsi="Arial" w:cs="Arial"/>
        </w:rPr>
      </w:pPr>
    </w:p>
    <w:p w:rsidR="00805B64" w:rsidRPr="000B3DF9" w:rsidRDefault="00805B64" w:rsidP="0080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left" w:pos="6361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7718BF" w:rsidRPr="00C42C58">
        <w:rPr>
          <w:rFonts w:ascii="Arial" w:hAnsi="Arial" w:cs="Arial"/>
          <w:b/>
        </w:rPr>
        <w:t>4</w:t>
      </w:r>
      <w:r w:rsidR="00C63C42" w:rsidRPr="00F15C5A">
        <w:rPr>
          <w:rFonts w:ascii="Arial" w:hAnsi="Arial" w:cs="Arial"/>
          <w:b/>
        </w:rPr>
        <w:t> </w:t>
      </w:r>
      <w:r w:rsidR="007718BF" w:rsidRPr="00C42C58">
        <w:rPr>
          <w:rFonts w:ascii="Arial" w:hAnsi="Arial" w:cs="Arial"/>
          <w:b/>
        </w:rPr>
        <w:t>78</w:t>
      </w:r>
      <w:r w:rsidR="00C63C42" w:rsidRPr="00F15C5A">
        <w:rPr>
          <w:rFonts w:ascii="Arial" w:hAnsi="Arial" w:cs="Arial"/>
          <w:b/>
        </w:rPr>
        <w:t xml:space="preserve">0 </w:t>
      </w:r>
      <w:r w:rsidRPr="007718BF">
        <w:rPr>
          <w:rFonts w:ascii="Arial" w:hAnsi="Arial" w:cs="Arial"/>
          <w:b/>
        </w:rPr>
        <w:t>zł</w:t>
      </w:r>
      <w:r w:rsidRPr="000B3DF9">
        <w:rPr>
          <w:rFonts w:ascii="Arial" w:hAnsi="Arial" w:cs="Arial"/>
          <w:b/>
        </w:rPr>
        <w:tab/>
      </w:r>
    </w:p>
    <w:p w:rsidR="00805B64" w:rsidRDefault="00805B64" w:rsidP="00C42C58">
      <w:pPr>
        <w:spacing w:after="120"/>
        <w:jc w:val="both"/>
        <w:rPr>
          <w:rFonts w:ascii="Arial" w:hAnsi="Arial" w:cs="Arial"/>
        </w:rPr>
      </w:pPr>
      <w:r w:rsidRPr="00B8640E">
        <w:rPr>
          <w:rFonts w:ascii="Arial" w:hAnsi="Arial" w:cs="Arial"/>
        </w:rPr>
        <w:t xml:space="preserve">Stawka jednostkowa </w:t>
      </w:r>
      <w:r w:rsidRPr="000B3DF9">
        <w:rPr>
          <w:rFonts w:ascii="Arial" w:hAnsi="Arial" w:cs="Arial"/>
          <w:u w:val="single"/>
        </w:rPr>
        <w:t>nie obejmuje kosztów pośrednich</w:t>
      </w:r>
      <w:r w:rsidRPr="00B8640E">
        <w:rPr>
          <w:rFonts w:ascii="Arial" w:hAnsi="Arial" w:cs="Arial"/>
        </w:rPr>
        <w:t>, wobec tego beneficjentowi przysługują koszty pośrednie naliczone od rozliczonej i zatwierdzonej stawki jednostkowej.</w:t>
      </w:r>
    </w:p>
    <w:p w:rsidR="00805B64" w:rsidRDefault="00805B64" w:rsidP="00805B64">
      <w:pPr>
        <w:spacing w:after="120"/>
        <w:jc w:val="both"/>
        <w:rPr>
          <w:rFonts w:ascii="Arial" w:hAnsi="Arial" w:cs="Arial"/>
        </w:rPr>
      </w:pPr>
      <w:r w:rsidRPr="000B3DF9">
        <w:rPr>
          <w:rFonts w:ascii="Arial" w:hAnsi="Arial" w:cs="Arial"/>
        </w:rPr>
        <w:lastRenderedPageBreak/>
        <w:t xml:space="preserve">Stawka jednostkowa </w:t>
      </w:r>
      <w:r w:rsidRPr="000B3DF9">
        <w:rPr>
          <w:rFonts w:ascii="Arial" w:hAnsi="Arial" w:cs="Arial"/>
          <w:u w:val="single"/>
        </w:rPr>
        <w:t>nie obejmuje kosztów wynikających z zastosowania mechanizmu racjonalnych usprawnień</w:t>
      </w:r>
      <w:r w:rsidRPr="000B3DF9">
        <w:rPr>
          <w:rFonts w:ascii="Arial" w:hAnsi="Arial" w:cs="Arial"/>
        </w:rPr>
        <w:t xml:space="preserve">. </w:t>
      </w:r>
    </w:p>
    <w:p w:rsidR="0068005E" w:rsidRPr="00F943EC" w:rsidRDefault="0068005E" w:rsidP="0068005E">
      <w:pPr>
        <w:spacing w:after="120"/>
        <w:rPr>
          <w:rFonts w:ascii="Arial" w:hAnsi="Arial" w:cs="Arial"/>
        </w:rPr>
      </w:pPr>
      <w:r w:rsidRPr="002516D9">
        <w:rPr>
          <w:rFonts w:ascii="Arial" w:hAnsi="Arial" w:cs="Arial"/>
        </w:rPr>
        <w:t>Beneficjent otrzymuje</w:t>
      </w:r>
      <w:r>
        <w:rPr>
          <w:rStyle w:val="Odwoanieprzypisudolnego"/>
          <w:rFonts w:ascii="Arial" w:hAnsi="Arial" w:cs="Arial"/>
        </w:rPr>
        <w:footnoteReference w:id="5"/>
      </w:r>
      <w:r w:rsidRPr="002516D9">
        <w:rPr>
          <w:rFonts w:ascii="Arial" w:hAnsi="Arial" w:cs="Arial"/>
        </w:rPr>
        <w:t>:</w:t>
      </w:r>
    </w:p>
    <w:p w:rsidR="0068005E" w:rsidRPr="007718BF" w:rsidRDefault="0068005E" w:rsidP="0068005E">
      <w:pPr>
        <w:pStyle w:val="Akapitzlist"/>
        <w:numPr>
          <w:ilvl w:val="0"/>
          <w:numId w:val="46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F15C5A">
        <w:rPr>
          <w:rFonts w:ascii="Arial" w:hAnsi="Arial" w:cs="Arial"/>
          <w:b/>
        </w:rPr>
        <w:t>9</w:t>
      </w:r>
      <w:r w:rsidRPr="007718BF">
        <w:rPr>
          <w:rFonts w:ascii="Arial" w:hAnsi="Arial" w:cs="Arial"/>
          <w:b/>
        </w:rPr>
        <w:t xml:space="preserve">0% </w:t>
      </w:r>
      <w:r w:rsidRPr="007718BF">
        <w:rPr>
          <w:rFonts w:ascii="Arial" w:hAnsi="Arial" w:cs="Arial"/>
        </w:rPr>
        <w:t xml:space="preserve">stawki jednostkowej, tj. 4 </w:t>
      </w:r>
      <w:r w:rsidR="007718BF" w:rsidRPr="00C42C58">
        <w:rPr>
          <w:rFonts w:ascii="Arial" w:hAnsi="Arial" w:cs="Arial"/>
        </w:rPr>
        <w:t>302</w:t>
      </w:r>
      <w:r w:rsidRPr="00F15C5A">
        <w:rPr>
          <w:rFonts w:ascii="Arial" w:hAnsi="Arial" w:cs="Arial"/>
        </w:rPr>
        <w:t xml:space="preserve"> zł, za zrealizowanie usług </w:t>
      </w:r>
      <w:r w:rsidRPr="007718BF">
        <w:rPr>
          <w:rFonts w:ascii="Arial" w:hAnsi="Arial" w:cs="Arial"/>
        </w:rPr>
        <w:t xml:space="preserve">zmierzających do poprawy sytuacji </w:t>
      </w:r>
      <w:r w:rsidR="001714D3" w:rsidRPr="007718BF">
        <w:rPr>
          <w:rFonts w:ascii="Arial" w:hAnsi="Arial" w:cs="Arial"/>
        </w:rPr>
        <w:t xml:space="preserve">uczestnika </w:t>
      </w:r>
      <w:r w:rsidRPr="007718BF">
        <w:rPr>
          <w:rFonts w:ascii="Arial" w:hAnsi="Arial" w:cs="Arial"/>
        </w:rPr>
        <w:t xml:space="preserve">na rynku pracy zgodnych z zakresem stawki jednostkowej wskazanym </w:t>
      </w:r>
      <w:r w:rsidR="0025486C" w:rsidRPr="007718BF">
        <w:rPr>
          <w:rFonts w:ascii="Arial" w:hAnsi="Arial" w:cs="Arial"/>
        </w:rPr>
        <w:t xml:space="preserve">                       </w:t>
      </w:r>
      <w:r w:rsidRPr="007718BF">
        <w:rPr>
          <w:rFonts w:ascii="Arial" w:hAnsi="Arial" w:cs="Arial"/>
        </w:rPr>
        <w:t xml:space="preserve">w pkt 3, </w:t>
      </w:r>
    </w:p>
    <w:p w:rsidR="0068005E" w:rsidRPr="00C42C58" w:rsidRDefault="0068005E" w:rsidP="0068005E">
      <w:pPr>
        <w:pStyle w:val="Akapitzlist"/>
        <w:numPr>
          <w:ilvl w:val="0"/>
          <w:numId w:val="46"/>
        </w:numPr>
        <w:spacing w:after="120"/>
        <w:contextualSpacing w:val="0"/>
        <w:jc w:val="both"/>
        <w:rPr>
          <w:rFonts w:ascii="Arial" w:hAnsi="Arial" w:cs="Arial"/>
          <w:u w:val="single"/>
        </w:rPr>
      </w:pPr>
      <w:r w:rsidRPr="007718BF">
        <w:rPr>
          <w:rFonts w:ascii="Arial" w:hAnsi="Arial" w:cs="Arial"/>
          <w:b/>
        </w:rPr>
        <w:t xml:space="preserve">10% </w:t>
      </w:r>
      <w:r w:rsidRPr="007718BF">
        <w:rPr>
          <w:rFonts w:ascii="Arial" w:hAnsi="Arial" w:cs="Arial"/>
        </w:rPr>
        <w:t xml:space="preserve">stawki jednostkowej, tj. </w:t>
      </w:r>
      <w:r w:rsidR="007718BF" w:rsidRPr="00C42C58">
        <w:rPr>
          <w:rFonts w:ascii="Arial" w:hAnsi="Arial" w:cs="Arial"/>
        </w:rPr>
        <w:t>478</w:t>
      </w:r>
      <w:r w:rsidRPr="00F15C5A">
        <w:rPr>
          <w:rFonts w:ascii="Arial" w:hAnsi="Arial" w:cs="Arial"/>
        </w:rPr>
        <w:t xml:space="preserve"> zł, za </w:t>
      </w:r>
      <w:r w:rsidR="001A4596" w:rsidRPr="007718BF">
        <w:rPr>
          <w:rFonts w:ascii="Arial" w:hAnsi="Arial" w:cs="Arial"/>
        </w:rPr>
        <w:t xml:space="preserve">doprowadzenie </w:t>
      </w:r>
      <w:r w:rsidRPr="007718BF">
        <w:rPr>
          <w:rFonts w:ascii="Arial" w:hAnsi="Arial" w:cs="Arial"/>
        </w:rPr>
        <w:t xml:space="preserve">uczestnika </w:t>
      </w:r>
      <w:r w:rsidR="001A4596" w:rsidRPr="007718BF">
        <w:rPr>
          <w:rFonts w:ascii="Arial" w:hAnsi="Arial" w:cs="Arial"/>
        </w:rPr>
        <w:t xml:space="preserve">projektu do poprawy jego sytuacji na rynku pracy </w:t>
      </w:r>
      <w:r w:rsidR="001A4596" w:rsidRPr="007718BF">
        <w:rPr>
          <w:rFonts w:ascii="Arial" w:hAnsi="Arial" w:cs="Arial"/>
          <w:color w:val="000000"/>
        </w:rPr>
        <w:t>spełniającej</w:t>
      </w:r>
      <w:r w:rsidRPr="007718BF">
        <w:rPr>
          <w:rFonts w:ascii="Arial" w:hAnsi="Arial" w:cs="Arial"/>
          <w:color w:val="000000"/>
        </w:rPr>
        <w:t xml:space="preserve"> kryter</w:t>
      </w:r>
      <w:r w:rsidR="001A4596" w:rsidRPr="007718BF">
        <w:rPr>
          <w:rFonts w:ascii="Arial" w:hAnsi="Arial" w:cs="Arial"/>
          <w:color w:val="000000"/>
        </w:rPr>
        <w:t>ium efektywności zawodowej</w:t>
      </w:r>
      <w:r w:rsidRPr="007718BF">
        <w:rPr>
          <w:rStyle w:val="Odwoanieprzypisudolnego"/>
          <w:rFonts w:ascii="Arial" w:hAnsi="Arial" w:cs="Arial"/>
        </w:rPr>
        <w:footnoteReference w:id="6"/>
      </w:r>
      <w:r w:rsidRPr="007718BF">
        <w:rPr>
          <w:rFonts w:ascii="Arial" w:hAnsi="Arial" w:cs="Arial"/>
        </w:rPr>
        <w:t>, przy czym ta stawka jednostkowa wypłacana jest jedynie w sytuacji, gdy beneficjent jest uprawniony do otrzymania stawki jednostkowej, o której mowa w lit. a)</w:t>
      </w:r>
      <w:r w:rsidRPr="007718BF">
        <w:rPr>
          <w:rStyle w:val="Odwoanieprzypisudolnego"/>
          <w:rFonts w:ascii="Arial" w:hAnsi="Arial" w:cs="Arial"/>
        </w:rPr>
        <w:footnoteReference w:id="7"/>
      </w:r>
      <w:r w:rsidRPr="007718BF">
        <w:rPr>
          <w:rFonts w:ascii="Arial" w:hAnsi="Arial" w:cs="Arial"/>
        </w:rPr>
        <w:t xml:space="preserve">, </w:t>
      </w:r>
    </w:p>
    <w:p w:rsidR="001A4596" w:rsidRPr="00F943EC" w:rsidRDefault="001A4596" w:rsidP="001A4596">
      <w:pPr>
        <w:pStyle w:val="Akapitzlist"/>
        <w:numPr>
          <w:ilvl w:val="0"/>
          <w:numId w:val="46"/>
        </w:numPr>
        <w:spacing w:after="120"/>
        <w:contextualSpacing w:val="0"/>
        <w:jc w:val="both"/>
        <w:rPr>
          <w:rFonts w:ascii="Arial" w:hAnsi="Arial" w:cs="Arial"/>
          <w:u w:val="single"/>
        </w:rPr>
      </w:pPr>
      <w:r w:rsidRPr="00F15C5A">
        <w:rPr>
          <w:rFonts w:ascii="Arial" w:hAnsi="Arial" w:cs="Arial"/>
          <w:b/>
          <w:color w:val="000000"/>
        </w:rPr>
        <w:t>50</w:t>
      </w:r>
      <w:r w:rsidRPr="007718BF">
        <w:rPr>
          <w:rFonts w:ascii="Arial" w:hAnsi="Arial" w:cs="Arial"/>
          <w:b/>
          <w:color w:val="000000"/>
        </w:rPr>
        <w:t>%</w:t>
      </w:r>
      <w:r w:rsidRPr="007718BF">
        <w:rPr>
          <w:rFonts w:ascii="Arial" w:hAnsi="Arial" w:cs="Arial"/>
          <w:color w:val="000000"/>
        </w:rPr>
        <w:t xml:space="preserve"> stawki jednostkowej, tj. </w:t>
      </w:r>
      <w:r w:rsidRPr="007718BF">
        <w:rPr>
          <w:rFonts w:ascii="Arial" w:hAnsi="Arial" w:cs="Arial"/>
        </w:rPr>
        <w:t xml:space="preserve">2 </w:t>
      </w:r>
      <w:r w:rsidR="007718BF" w:rsidRPr="007718BF">
        <w:rPr>
          <w:rFonts w:ascii="Arial" w:hAnsi="Arial" w:cs="Arial"/>
        </w:rPr>
        <w:t>390</w:t>
      </w:r>
      <w:r w:rsidRPr="007718BF">
        <w:rPr>
          <w:rFonts w:ascii="Arial" w:hAnsi="Arial" w:cs="Arial"/>
        </w:rPr>
        <w:t xml:space="preserve"> zł, </w:t>
      </w:r>
      <w:r w:rsidRPr="007718BF">
        <w:rPr>
          <w:rFonts w:ascii="Arial" w:hAnsi="Arial" w:cs="Arial"/>
          <w:color w:val="000000"/>
        </w:rPr>
        <w:t xml:space="preserve">gdy uczestnik przerwie udział w projekcie z powodu poprawy swojej sytuacji na rynku pracy spełniającej kryterium efektywności zawodowej </w:t>
      </w:r>
      <w:r w:rsidR="0025486C" w:rsidRPr="007718BF">
        <w:rPr>
          <w:rFonts w:ascii="Arial" w:hAnsi="Arial" w:cs="Arial"/>
          <w:color w:val="000000"/>
        </w:rPr>
        <w:t xml:space="preserve">                        </w:t>
      </w:r>
      <w:r w:rsidRPr="007718BF">
        <w:rPr>
          <w:rFonts w:ascii="Arial" w:hAnsi="Arial" w:cs="Arial"/>
          <w:color w:val="000000"/>
        </w:rPr>
        <w:t>i jednocześnie w ramach</w:t>
      </w:r>
      <w:r>
        <w:rPr>
          <w:rFonts w:ascii="Arial" w:hAnsi="Arial" w:cs="Arial"/>
          <w:color w:val="000000"/>
        </w:rPr>
        <w:t xml:space="preserve"> projektu dla uczestnika opracowano </w:t>
      </w:r>
      <w:r w:rsidRPr="006C733C">
        <w:rPr>
          <w:rFonts w:ascii="Arial" w:hAnsi="Arial" w:cs="Arial"/>
          <w:color w:val="000000"/>
        </w:rPr>
        <w:t>IPD</w:t>
      </w:r>
      <w:r w:rsidR="007718BF">
        <w:rPr>
          <w:rFonts w:ascii="Arial" w:hAnsi="Arial" w:cs="Arial"/>
          <w:color w:val="000000"/>
        </w:rPr>
        <w:t xml:space="preserve"> </w:t>
      </w:r>
      <w:r w:rsidRPr="006C733C">
        <w:rPr>
          <w:rFonts w:ascii="Arial" w:hAnsi="Arial" w:cs="Arial"/>
          <w:color w:val="000000"/>
        </w:rPr>
        <w:t xml:space="preserve">lub inny dokument pełniący analogiczną funkcję </w:t>
      </w:r>
      <w:r>
        <w:rPr>
          <w:rFonts w:ascii="Arial" w:hAnsi="Arial" w:cs="Arial"/>
          <w:color w:val="000000"/>
        </w:rPr>
        <w:t xml:space="preserve">oraz w chwili podjęcia zatrudnienia uczestnik brał udział przynajmniej </w:t>
      </w:r>
      <w:r w:rsidR="007718B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w jednej z form wsparcia przewidzianych w </w:t>
      </w:r>
      <w:r w:rsidRPr="00F943EC">
        <w:rPr>
          <w:rFonts w:ascii="Arial" w:hAnsi="Arial" w:cs="Arial"/>
          <w:color w:val="000000"/>
        </w:rPr>
        <w:t>IPD</w:t>
      </w:r>
      <w:r w:rsidR="007718BF">
        <w:rPr>
          <w:rFonts w:ascii="Arial" w:hAnsi="Arial" w:cs="Arial"/>
          <w:color w:val="000000"/>
        </w:rPr>
        <w:t xml:space="preserve"> </w:t>
      </w:r>
      <w:r w:rsidRPr="00F943EC">
        <w:rPr>
          <w:rFonts w:ascii="Arial" w:hAnsi="Arial" w:cs="Arial"/>
          <w:color w:val="000000"/>
        </w:rPr>
        <w:t xml:space="preserve">lub </w:t>
      </w:r>
      <w:r>
        <w:rPr>
          <w:rFonts w:ascii="Arial" w:hAnsi="Arial" w:cs="Arial"/>
          <w:color w:val="000000"/>
        </w:rPr>
        <w:t xml:space="preserve">analogicznym dokumencie, innej niż obligatoryjnej: pośrednictwo pracy i poradnictwo zawodowe. </w:t>
      </w:r>
    </w:p>
    <w:p w:rsidR="001A4596" w:rsidRDefault="001A4596" w:rsidP="001A459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Stawka jednostkowa nie będzie kwalifikowalna w ogóle w</w:t>
      </w:r>
      <w:r w:rsidRPr="00F943EC">
        <w:rPr>
          <w:rFonts w:ascii="Arial" w:hAnsi="Arial" w:cs="Arial"/>
        </w:rPr>
        <w:t xml:space="preserve"> przypadku</w:t>
      </w:r>
      <w:r>
        <w:rPr>
          <w:rFonts w:ascii="Arial" w:hAnsi="Arial" w:cs="Arial"/>
        </w:rPr>
        <w:t>,</w:t>
      </w:r>
      <w:r w:rsidRPr="00F943EC">
        <w:rPr>
          <w:rFonts w:ascii="Arial" w:hAnsi="Arial" w:cs="Arial"/>
        </w:rPr>
        <w:t xml:space="preserve"> gdy uczestnik przerwie udział </w:t>
      </w:r>
      <w:r>
        <w:rPr>
          <w:rFonts w:ascii="Arial" w:hAnsi="Arial" w:cs="Arial"/>
        </w:rPr>
        <w:br/>
      </w:r>
      <w:r w:rsidRPr="00F943EC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projekcie z powodu poprawy swojej sytuacji na rynku pracy, a w r</w:t>
      </w:r>
      <w:r w:rsidRPr="00F943EC">
        <w:rPr>
          <w:rFonts w:ascii="Arial" w:hAnsi="Arial" w:cs="Arial"/>
        </w:rPr>
        <w:t xml:space="preserve">amach projektu opracowano </w:t>
      </w:r>
      <w:r>
        <w:rPr>
          <w:rFonts w:ascii="Arial" w:hAnsi="Arial" w:cs="Arial"/>
        </w:rPr>
        <w:t xml:space="preserve">dla niego jedynie </w:t>
      </w:r>
      <w:r w:rsidRPr="00F943EC">
        <w:rPr>
          <w:rFonts w:ascii="Arial" w:hAnsi="Arial" w:cs="Arial"/>
        </w:rPr>
        <w:t>IPD</w:t>
      </w:r>
      <w:r w:rsidR="00175262">
        <w:rPr>
          <w:rFonts w:ascii="Arial" w:hAnsi="Arial" w:cs="Arial"/>
        </w:rPr>
        <w:t xml:space="preserve"> </w:t>
      </w:r>
      <w:r w:rsidRPr="00F943EC">
        <w:rPr>
          <w:rFonts w:ascii="Arial" w:hAnsi="Arial" w:cs="Arial"/>
        </w:rPr>
        <w:t>lub inny dokument pełniący analogiczną funkcję</w:t>
      </w:r>
      <w:r>
        <w:rPr>
          <w:rFonts w:ascii="Arial" w:hAnsi="Arial" w:cs="Arial"/>
        </w:rPr>
        <w:t xml:space="preserve"> lub opracowano dla niego </w:t>
      </w:r>
      <w:r w:rsidR="00175262">
        <w:rPr>
          <w:rFonts w:ascii="Arial" w:hAnsi="Arial" w:cs="Arial"/>
        </w:rPr>
        <w:t>I</w:t>
      </w:r>
      <w:r>
        <w:rPr>
          <w:rFonts w:ascii="Arial" w:hAnsi="Arial" w:cs="Arial"/>
        </w:rPr>
        <w:t>PD</w:t>
      </w:r>
      <w:r w:rsidR="001752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 inny dokument pełniący analogiczną funkcję oraz dodatkowo objęto go wsparciem jedynie formami obligatoryjnymi, tj</w:t>
      </w:r>
      <w:r w:rsidR="0017526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pośrednictwem pracy lub poradnictwem zawodowym</w:t>
      </w:r>
      <w:r w:rsidRPr="00F943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Stawka jednostkowa nie będzie również kwalifikowalna w ogóle w przypadku, gdy uczestnik projektu przerwie udział </w:t>
      </w:r>
      <w:r w:rsidR="00175262">
        <w:rPr>
          <w:rFonts w:ascii="Arial" w:hAnsi="Arial" w:cs="Arial"/>
        </w:rPr>
        <w:br/>
      </w:r>
      <w:r>
        <w:rPr>
          <w:rFonts w:ascii="Arial" w:hAnsi="Arial" w:cs="Arial"/>
        </w:rPr>
        <w:t>w projekcie z innych powodów niż poprawa sytuacji na rynku pracy w rozumieniu kryterium efektywności zawodowej</w:t>
      </w:r>
      <w:r w:rsidR="0025486C">
        <w:rPr>
          <w:rFonts w:ascii="Arial" w:hAnsi="Arial" w:cs="Arial"/>
        </w:rPr>
        <w:t>.</w:t>
      </w:r>
    </w:p>
    <w:p w:rsidR="001A70EC" w:rsidRDefault="001A70EC" w:rsidP="001A70EC">
      <w:pPr>
        <w:pStyle w:val="Akapitzlist"/>
        <w:spacing w:after="120"/>
        <w:ind w:left="644"/>
        <w:jc w:val="both"/>
        <w:outlineLvl w:val="0"/>
        <w:rPr>
          <w:rFonts w:ascii="Arial" w:hAnsi="Arial" w:cs="Arial"/>
          <w:b/>
        </w:rPr>
      </w:pPr>
      <w:bookmarkStart w:id="25" w:name="_Toc509905402"/>
      <w:bookmarkStart w:id="26" w:name="_Toc509905535"/>
      <w:bookmarkStart w:id="27" w:name="_Toc509905576"/>
      <w:bookmarkStart w:id="28" w:name="_Toc510000085"/>
      <w:bookmarkStart w:id="29" w:name="_Toc509905403"/>
      <w:bookmarkStart w:id="30" w:name="_Toc509905536"/>
      <w:bookmarkStart w:id="31" w:name="_Toc509905577"/>
      <w:bookmarkStart w:id="32" w:name="_Toc510000086"/>
      <w:bookmarkStart w:id="33" w:name="_Toc509905404"/>
      <w:bookmarkStart w:id="34" w:name="_Toc509905537"/>
      <w:bookmarkStart w:id="35" w:name="_Toc509905578"/>
      <w:bookmarkStart w:id="36" w:name="_Toc510000087"/>
      <w:bookmarkStart w:id="37" w:name="_Toc509905405"/>
      <w:bookmarkStart w:id="38" w:name="_Toc509905538"/>
      <w:bookmarkStart w:id="39" w:name="_Toc509905579"/>
      <w:bookmarkStart w:id="40" w:name="_Toc510000088"/>
      <w:bookmarkStart w:id="41" w:name="_Toc509905406"/>
      <w:bookmarkStart w:id="42" w:name="_Toc509905539"/>
      <w:bookmarkStart w:id="43" w:name="_Toc509905580"/>
      <w:bookmarkStart w:id="44" w:name="_Toc510000089"/>
      <w:bookmarkStart w:id="45" w:name="_Toc509905407"/>
      <w:bookmarkStart w:id="46" w:name="_Toc509905540"/>
      <w:bookmarkStart w:id="47" w:name="_Toc509905581"/>
      <w:bookmarkStart w:id="48" w:name="_Toc510000090"/>
      <w:bookmarkStart w:id="49" w:name="_Toc509905408"/>
      <w:bookmarkStart w:id="50" w:name="_Toc509905541"/>
      <w:bookmarkStart w:id="51" w:name="_Toc509905582"/>
      <w:bookmarkStart w:id="52" w:name="_Toc510000091"/>
      <w:bookmarkStart w:id="53" w:name="_Toc509905409"/>
      <w:bookmarkStart w:id="54" w:name="_Toc509905542"/>
      <w:bookmarkStart w:id="55" w:name="_Toc509905583"/>
      <w:bookmarkStart w:id="56" w:name="_Toc510000092"/>
      <w:bookmarkStart w:id="57" w:name="_Toc506793886"/>
      <w:bookmarkStart w:id="58" w:name="_Toc506793908"/>
      <w:bookmarkStart w:id="59" w:name="_Toc506793975"/>
      <w:bookmarkStart w:id="60" w:name="_Toc506794007"/>
      <w:bookmarkStart w:id="61" w:name="_Toc506793887"/>
      <w:bookmarkStart w:id="62" w:name="_Toc506793909"/>
      <w:bookmarkStart w:id="63" w:name="_Toc506793976"/>
      <w:bookmarkStart w:id="64" w:name="_Toc506794008"/>
      <w:bookmarkStart w:id="65" w:name="_Toc506793888"/>
      <w:bookmarkStart w:id="66" w:name="_Toc506793910"/>
      <w:bookmarkStart w:id="67" w:name="_Toc506793977"/>
      <w:bookmarkStart w:id="68" w:name="_Toc506794009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393C9C" w:rsidRDefault="00393C9C" w:rsidP="00F943EC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69" w:name="_Toc510100704"/>
      <w:r w:rsidRPr="00196BE3">
        <w:rPr>
          <w:rFonts w:ascii="Arial" w:hAnsi="Arial" w:cs="Arial"/>
          <w:b/>
        </w:rPr>
        <w:t>Opis i definicja wskaźnika rozliczającego stawkę jednostkową</w:t>
      </w:r>
      <w:bookmarkEnd w:id="69"/>
    </w:p>
    <w:p w:rsidR="00540AC5" w:rsidRPr="00F67732" w:rsidRDefault="00D007E6" w:rsidP="00BD2994">
      <w:pPr>
        <w:spacing w:after="120"/>
        <w:jc w:val="both"/>
        <w:rPr>
          <w:rFonts w:ascii="Arial" w:hAnsi="Arial" w:cs="Arial"/>
          <w:u w:val="single"/>
        </w:rPr>
      </w:pPr>
      <w:r w:rsidRPr="00180534">
        <w:rPr>
          <w:rFonts w:ascii="Arial" w:hAnsi="Arial" w:cs="Arial"/>
          <w:u w:val="single"/>
        </w:rPr>
        <w:t xml:space="preserve">5.1. </w:t>
      </w:r>
      <w:r w:rsidR="006A2520">
        <w:rPr>
          <w:rFonts w:ascii="Arial" w:hAnsi="Arial" w:cs="Arial"/>
          <w:u w:val="single"/>
        </w:rPr>
        <w:t>W</w:t>
      </w:r>
      <w:r w:rsidR="002E5BD9" w:rsidRPr="00180534">
        <w:rPr>
          <w:rFonts w:ascii="Arial" w:hAnsi="Arial" w:cs="Arial"/>
          <w:u w:val="single"/>
        </w:rPr>
        <w:t>skaźnik</w:t>
      </w:r>
      <w:r w:rsidR="00A5521F">
        <w:rPr>
          <w:rFonts w:ascii="Arial" w:hAnsi="Arial" w:cs="Arial"/>
          <w:u w:val="single"/>
        </w:rPr>
        <w:t xml:space="preserve"> - osob</w:t>
      </w:r>
      <w:r w:rsidR="00A5521F" w:rsidRPr="00F67732">
        <w:rPr>
          <w:rFonts w:ascii="Arial" w:hAnsi="Arial" w:cs="Arial"/>
          <w:u w:val="single"/>
        </w:rPr>
        <w:t xml:space="preserve">y </w:t>
      </w:r>
      <w:r w:rsidR="00236665">
        <w:rPr>
          <w:rFonts w:ascii="Arial" w:hAnsi="Arial" w:cs="Arial"/>
          <w:u w:val="single"/>
        </w:rPr>
        <w:t>niepracujące</w:t>
      </w:r>
      <w:r w:rsidR="000D595F" w:rsidRPr="00F67732">
        <w:rPr>
          <w:rStyle w:val="Odwoanieprzypisudolnego"/>
          <w:rFonts w:ascii="Arial" w:hAnsi="Arial" w:cs="Arial"/>
          <w:u w:val="single"/>
        </w:rPr>
        <w:footnoteReference w:id="8"/>
      </w:r>
      <w:r w:rsidR="00540AC5" w:rsidRPr="00F67732">
        <w:rPr>
          <w:rFonts w:ascii="Arial" w:hAnsi="Arial" w:cs="Arial"/>
          <w:u w:val="single"/>
        </w:rPr>
        <w:t>:</w:t>
      </w:r>
    </w:p>
    <w:p w:rsidR="00540AC5" w:rsidRPr="00320AA1" w:rsidRDefault="00DF0FE6" w:rsidP="00320AA1">
      <w:pPr>
        <w:pStyle w:val="Akapitzlist"/>
        <w:numPr>
          <w:ilvl w:val="0"/>
          <w:numId w:val="44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dla pełnej </w:t>
      </w:r>
      <w:r w:rsidR="00540AC5" w:rsidRPr="00D76C67">
        <w:rPr>
          <w:rFonts w:ascii="Arial" w:hAnsi="Arial" w:cs="Arial"/>
        </w:rPr>
        <w:t xml:space="preserve">stawki jednostkowej </w:t>
      </w:r>
      <w:r w:rsidR="00D007E6" w:rsidRPr="00D76C67">
        <w:rPr>
          <w:rFonts w:ascii="Arial" w:hAnsi="Arial" w:cs="Arial"/>
        </w:rPr>
        <w:t>aktywizacji zawodowej osób młodych</w:t>
      </w:r>
      <w:r w:rsidR="00236665" w:rsidRPr="00236665">
        <w:rPr>
          <w:rFonts w:ascii="Arial" w:hAnsi="Arial" w:cs="Arial"/>
        </w:rPr>
        <w:t xml:space="preserve"> </w:t>
      </w:r>
      <w:r w:rsidR="00236665" w:rsidRPr="00154D84">
        <w:rPr>
          <w:rFonts w:ascii="Arial" w:hAnsi="Arial" w:cs="Arial"/>
        </w:rPr>
        <w:t>niepracujących</w:t>
      </w:r>
      <w:r w:rsidR="002E5BD9" w:rsidRPr="00D76C67">
        <w:rPr>
          <w:rFonts w:ascii="Arial" w:hAnsi="Arial" w:cs="Arial"/>
        </w:rPr>
        <w:t xml:space="preserve">: </w:t>
      </w:r>
      <w:r w:rsidR="00444996">
        <w:rPr>
          <w:rFonts w:ascii="Arial" w:hAnsi="Arial" w:cs="Arial"/>
        </w:rPr>
        <w:br/>
      </w:r>
      <w:r w:rsidR="00540AC5" w:rsidRPr="00320AA1">
        <w:rPr>
          <w:rFonts w:ascii="Arial" w:hAnsi="Arial" w:cs="Arial"/>
          <w:b/>
        </w:rPr>
        <w:t>liczba uczestników projektu objętych kompleksowym wsparciem aktywizacji zawodowej doprowadzonych do zatrudnienia (100% stawki)</w:t>
      </w:r>
      <w:r w:rsidR="00A5521F" w:rsidRPr="00320AA1">
        <w:rPr>
          <w:rFonts w:ascii="Arial" w:hAnsi="Arial" w:cs="Arial"/>
          <w:b/>
        </w:rPr>
        <w:t>,</w:t>
      </w:r>
    </w:p>
    <w:p w:rsidR="00540AC5" w:rsidRPr="00320AA1" w:rsidRDefault="00DF0FE6" w:rsidP="00320AA1">
      <w:pPr>
        <w:pStyle w:val="Akapitzlist"/>
        <w:numPr>
          <w:ilvl w:val="0"/>
          <w:numId w:val="44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dla</w:t>
      </w:r>
      <w:r w:rsidRPr="00F67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obniżonej </w:t>
      </w:r>
      <w:r w:rsidR="00540AC5" w:rsidRPr="00F67732">
        <w:rPr>
          <w:rFonts w:ascii="Arial" w:hAnsi="Arial" w:cs="Arial"/>
        </w:rPr>
        <w:t>stawki jednostkowej aktywizacji zawodowej osób młodych</w:t>
      </w:r>
      <w:r w:rsidR="00236665" w:rsidRPr="00236665">
        <w:rPr>
          <w:rFonts w:ascii="Arial" w:hAnsi="Arial" w:cs="Arial"/>
        </w:rPr>
        <w:t xml:space="preserve"> </w:t>
      </w:r>
      <w:r w:rsidR="00236665" w:rsidRPr="00154D84">
        <w:rPr>
          <w:rFonts w:ascii="Arial" w:hAnsi="Arial" w:cs="Arial"/>
        </w:rPr>
        <w:t>niepracujących</w:t>
      </w:r>
      <w:r w:rsidR="00540AC5" w:rsidRPr="00F67732">
        <w:rPr>
          <w:rFonts w:ascii="Arial" w:hAnsi="Arial" w:cs="Arial"/>
        </w:rPr>
        <w:t xml:space="preserve">: </w:t>
      </w:r>
      <w:r w:rsidR="00540AC5" w:rsidRPr="00320AA1">
        <w:rPr>
          <w:rFonts w:ascii="Arial" w:hAnsi="Arial" w:cs="Arial"/>
          <w:b/>
        </w:rPr>
        <w:t>liczba uczestników projektu objętych kompleksowym wsparciem aktywizacji zawodowej (90% stawki)</w:t>
      </w:r>
      <w:r w:rsidR="00A5521F" w:rsidRPr="00320AA1">
        <w:rPr>
          <w:rFonts w:ascii="Arial" w:hAnsi="Arial" w:cs="Arial"/>
          <w:b/>
        </w:rPr>
        <w:t>,</w:t>
      </w:r>
    </w:p>
    <w:p w:rsidR="00540AC5" w:rsidRPr="00320AA1" w:rsidRDefault="00DF0FE6" w:rsidP="00320AA1">
      <w:pPr>
        <w:pStyle w:val="Akapitzlist"/>
        <w:numPr>
          <w:ilvl w:val="0"/>
          <w:numId w:val="44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dla </w:t>
      </w:r>
      <w:r w:rsidR="00540AC5" w:rsidRPr="00F67732">
        <w:rPr>
          <w:rFonts w:ascii="Arial" w:hAnsi="Arial" w:cs="Arial"/>
        </w:rPr>
        <w:t xml:space="preserve">stawki jednostkowej aktywizacji zawodowej </w:t>
      </w:r>
      <w:r w:rsidR="00154D84" w:rsidRPr="00154D84">
        <w:rPr>
          <w:rFonts w:ascii="Arial" w:hAnsi="Arial" w:cs="Arial"/>
        </w:rPr>
        <w:t xml:space="preserve">niepracujących </w:t>
      </w:r>
      <w:r w:rsidR="00540AC5" w:rsidRPr="00F67732">
        <w:rPr>
          <w:rFonts w:ascii="Arial" w:hAnsi="Arial" w:cs="Arial"/>
        </w:rPr>
        <w:t>osób młodych opuszczając</w:t>
      </w:r>
      <w:r w:rsidR="00233043" w:rsidRPr="00F67732">
        <w:rPr>
          <w:rFonts w:ascii="Arial" w:hAnsi="Arial" w:cs="Arial"/>
        </w:rPr>
        <w:t>ych</w:t>
      </w:r>
      <w:r w:rsidR="00540AC5" w:rsidRPr="00F67732">
        <w:rPr>
          <w:rFonts w:ascii="Arial" w:hAnsi="Arial" w:cs="Arial"/>
        </w:rPr>
        <w:t xml:space="preserve"> projekt: </w:t>
      </w:r>
      <w:r w:rsidR="00540AC5" w:rsidRPr="00320AA1">
        <w:rPr>
          <w:rFonts w:ascii="Arial" w:hAnsi="Arial" w:cs="Arial"/>
          <w:b/>
        </w:rPr>
        <w:t>liczba uczestników projektu objętych wsparciem aktywizacji zawodowej</w:t>
      </w:r>
      <w:r w:rsidR="00F67732" w:rsidRPr="00320AA1">
        <w:rPr>
          <w:rFonts w:ascii="Arial" w:hAnsi="Arial" w:cs="Arial"/>
          <w:b/>
        </w:rPr>
        <w:t>, którzy</w:t>
      </w:r>
      <w:r w:rsidR="00540AC5" w:rsidRPr="00320AA1">
        <w:rPr>
          <w:rFonts w:ascii="Arial" w:hAnsi="Arial" w:cs="Arial"/>
          <w:b/>
        </w:rPr>
        <w:t xml:space="preserve"> </w:t>
      </w:r>
      <w:r w:rsidR="00F67732" w:rsidRPr="00320AA1">
        <w:rPr>
          <w:rFonts w:ascii="Arial" w:hAnsi="Arial" w:cs="Arial"/>
          <w:b/>
        </w:rPr>
        <w:t>opuścili projekt</w:t>
      </w:r>
      <w:r w:rsidR="00C21282">
        <w:rPr>
          <w:rFonts w:ascii="Arial" w:hAnsi="Arial" w:cs="Arial"/>
          <w:b/>
        </w:rPr>
        <w:t xml:space="preserve"> </w:t>
      </w:r>
      <w:r w:rsidR="00C0231D" w:rsidRPr="00320AA1">
        <w:rPr>
          <w:rFonts w:ascii="Arial" w:hAnsi="Arial" w:cs="Arial"/>
          <w:b/>
          <w:color w:val="000000"/>
        </w:rPr>
        <w:t>w związku z podjęciem zatrudnienia</w:t>
      </w:r>
      <w:r w:rsidR="00C0231D">
        <w:rPr>
          <w:rFonts w:ascii="Arial" w:hAnsi="Arial" w:cs="Arial"/>
          <w:color w:val="000000"/>
        </w:rPr>
        <w:t xml:space="preserve"> </w:t>
      </w:r>
      <w:r w:rsidR="00540AC5" w:rsidRPr="00320AA1">
        <w:rPr>
          <w:rFonts w:ascii="Arial" w:hAnsi="Arial" w:cs="Arial"/>
          <w:b/>
        </w:rPr>
        <w:t>(50%</w:t>
      </w:r>
      <w:r w:rsidR="00F67732" w:rsidRPr="00320AA1">
        <w:rPr>
          <w:rFonts w:ascii="Arial" w:hAnsi="Arial" w:cs="Arial"/>
          <w:b/>
        </w:rPr>
        <w:t xml:space="preserve"> stawki</w:t>
      </w:r>
      <w:r w:rsidR="00540AC5" w:rsidRPr="00320AA1">
        <w:rPr>
          <w:rFonts w:ascii="Arial" w:hAnsi="Arial" w:cs="Arial"/>
          <w:b/>
        </w:rPr>
        <w:t>)</w:t>
      </w:r>
      <w:r w:rsidR="00A5521F" w:rsidRPr="00320AA1">
        <w:rPr>
          <w:rFonts w:ascii="Arial" w:hAnsi="Arial" w:cs="Arial"/>
          <w:b/>
        </w:rPr>
        <w:t>.</w:t>
      </w:r>
    </w:p>
    <w:p w:rsidR="00A5521F" w:rsidRDefault="00D007E6" w:rsidP="00BD2994">
      <w:pPr>
        <w:spacing w:after="120"/>
        <w:jc w:val="both"/>
        <w:rPr>
          <w:rFonts w:ascii="Arial" w:hAnsi="Arial" w:cs="Arial"/>
        </w:rPr>
      </w:pPr>
      <w:r w:rsidRPr="00BD2994">
        <w:rPr>
          <w:rFonts w:ascii="Arial" w:hAnsi="Arial" w:cs="Arial"/>
          <w:u w:val="single"/>
        </w:rPr>
        <w:t>5.2. Wskaźnik</w:t>
      </w:r>
      <w:r w:rsidR="00A5521F">
        <w:rPr>
          <w:rFonts w:ascii="Arial" w:hAnsi="Arial" w:cs="Arial"/>
          <w:u w:val="single"/>
        </w:rPr>
        <w:t xml:space="preserve"> – </w:t>
      </w:r>
      <w:r w:rsidRPr="00BD2994">
        <w:rPr>
          <w:rFonts w:ascii="Arial" w:hAnsi="Arial" w:cs="Arial"/>
          <w:u w:val="single"/>
        </w:rPr>
        <w:t>os</w:t>
      </w:r>
      <w:r w:rsidR="00A5521F">
        <w:rPr>
          <w:rFonts w:ascii="Arial" w:hAnsi="Arial" w:cs="Arial"/>
          <w:u w:val="single"/>
        </w:rPr>
        <w:t xml:space="preserve">oby </w:t>
      </w:r>
      <w:r w:rsidRPr="00BD2994">
        <w:rPr>
          <w:rFonts w:ascii="Arial" w:hAnsi="Arial" w:cs="Arial"/>
          <w:u w:val="single"/>
        </w:rPr>
        <w:t>pracując</w:t>
      </w:r>
      <w:r w:rsidR="00A5521F">
        <w:rPr>
          <w:rFonts w:ascii="Arial" w:hAnsi="Arial" w:cs="Arial"/>
          <w:u w:val="single"/>
        </w:rPr>
        <w:t>e</w:t>
      </w:r>
      <w:r w:rsidR="000D595F">
        <w:rPr>
          <w:rStyle w:val="Odwoanieprzypisudolnego"/>
          <w:rFonts w:ascii="Arial" w:hAnsi="Arial" w:cs="Arial"/>
          <w:u w:val="single"/>
        </w:rPr>
        <w:footnoteReference w:id="9"/>
      </w:r>
      <w:r w:rsidRPr="00180534">
        <w:rPr>
          <w:rFonts w:ascii="Arial" w:hAnsi="Arial" w:cs="Arial"/>
        </w:rPr>
        <w:t xml:space="preserve">: </w:t>
      </w:r>
    </w:p>
    <w:p w:rsidR="00A5521F" w:rsidRPr="00320AA1" w:rsidRDefault="00DF0FE6" w:rsidP="00D16DBD">
      <w:pPr>
        <w:pStyle w:val="Akapitzlist"/>
        <w:numPr>
          <w:ilvl w:val="0"/>
          <w:numId w:val="47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dla pełnej </w:t>
      </w:r>
      <w:r w:rsidR="00A5521F" w:rsidRPr="00A5521F">
        <w:rPr>
          <w:rFonts w:ascii="Arial" w:hAnsi="Arial" w:cs="Arial"/>
        </w:rPr>
        <w:t>stawk</w:t>
      </w:r>
      <w:r w:rsidR="00233043">
        <w:rPr>
          <w:rFonts w:ascii="Arial" w:hAnsi="Arial" w:cs="Arial"/>
        </w:rPr>
        <w:t xml:space="preserve">i </w:t>
      </w:r>
      <w:r w:rsidR="00A5521F" w:rsidRPr="00A5521F">
        <w:rPr>
          <w:rFonts w:ascii="Arial" w:hAnsi="Arial" w:cs="Arial"/>
        </w:rPr>
        <w:t xml:space="preserve"> jednostkow</w:t>
      </w:r>
      <w:r w:rsidR="00233043">
        <w:rPr>
          <w:rFonts w:ascii="Arial" w:hAnsi="Arial" w:cs="Arial"/>
        </w:rPr>
        <w:t>ej</w:t>
      </w:r>
      <w:r w:rsidR="00A5521F" w:rsidRPr="00A5521F">
        <w:rPr>
          <w:rFonts w:ascii="Arial" w:hAnsi="Arial" w:cs="Arial"/>
        </w:rPr>
        <w:t xml:space="preserve"> wsparcia osób młodych pracujących</w:t>
      </w:r>
      <w:r w:rsidR="000446FB">
        <w:rPr>
          <w:rFonts w:ascii="Arial" w:hAnsi="Arial" w:cs="Arial"/>
        </w:rPr>
        <w:t>:</w:t>
      </w:r>
      <w:r w:rsidR="00A5521F" w:rsidRPr="00A5521F">
        <w:rPr>
          <w:rFonts w:ascii="Arial" w:hAnsi="Arial" w:cs="Arial"/>
        </w:rPr>
        <w:t xml:space="preserve"> </w:t>
      </w:r>
      <w:r w:rsidR="00A5521F" w:rsidRPr="00320AA1">
        <w:rPr>
          <w:rFonts w:ascii="Arial" w:hAnsi="Arial" w:cs="Arial"/>
          <w:b/>
        </w:rPr>
        <w:t xml:space="preserve">liczba uczestników projektu objętych kompleksowym wsparciem, </w:t>
      </w:r>
      <w:r w:rsidR="00DE7381" w:rsidRPr="00320AA1">
        <w:rPr>
          <w:rFonts w:ascii="Arial" w:hAnsi="Arial" w:cs="Arial"/>
          <w:b/>
        </w:rPr>
        <w:t>których sytuacja na rynku pracy uległa poprawie</w:t>
      </w:r>
      <w:r w:rsidR="00A5521F" w:rsidRPr="00320AA1">
        <w:rPr>
          <w:rFonts w:ascii="Arial" w:hAnsi="Arial" w:cs="Arial"/>
          <w:b/>
        </w:rPr>
        <w:t xml:space="preserve"> (100%</w:t>
      </w:r>
      <w:r w:rsidR="00F67732" w:rsidRPr="00320AA1">
        <w:rPr>
          <w:rFonts w:ascii="Arial" w:hAnsi="Arial" w:cs="Arial"/>
          <w:b/>
        </w:rPr>
        <w:t xml:space="preserve"> stawki</w:t>
      </w:r>
      <w:r w:rsidR="00A5521F" w:rsidRPr="00320AA1">
        <w:rPr>
          <w:rFonts w:ascii="Arial" w:hAnsi="Arial" w:cs="Arial"/>
          <w:b/>
        </w:rPr>
        <w:t>),</w:t>
      </w:r>
    </w:p>
    <w:p w:rsidR="00233043" w:rsidRPr="00320AA1" w:rsidRDefault="00DF0FE6" w:rsidP="00320AA1">
      <w:pPr>
        <w:pStyle w:val="Akapitzlist"/>
        <w:numPr>
          <w:ilvl w:val="0"/>
          <w:numId w:val="47"/>
        </w:numPr>
        <w:spacing w:after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dla obniżonej </w:t>
      </w:r>
      <w:r w:rsidR="00A5521F" w:rsidRPr="0025486C">
        <w:rPr>
          <w:rFonts w:ascii="Arial" w:hAnsi="Arial" w:cs="Arial"/>
        </w:rPr>
        <w:t>stawk</w:t>
      </w:r>
      <w:r w:rsidR="00233043">
        <w:rPr>
          <w:rFonts w:ascii="Arial" w:hAnsi="Arial" w:cs="Arial"/>
        </w:rPr>
        <w:t>i</w:t>
      </w:r>
      <w:r w:rsidR="00A5521F" w:rsidRPr="0025486C">
        <w:rPr>
          <w:rFonts w:ascii="Arial" w:hAnsi="Arial" w:cs="Arial"/>
        </w:rPr>
        <w:t xml:space="preserve"> jednostkow</w:t>
      </w:r>
      <w:r w:rsidR="00233043">
        <w:rPr>
          <w:rFonts w:ascii="Arial" w:hAnsi="Arial" w:cs="Arial"/>
        </w:rPr>
        <w:t>ej</w:t>
      </w:r>
      <w:r w:rsidR="00A5521F" w:rsidRPr="0025486C">
        <w:rPr>
          <w:rFonts w:ascii="Arial" w:hAnsi="Arial" w:cs="Arial"/>
        </w:rPr>
        <w:t xml:space="preserve"> wsparcia osób młodych pracujących: </w:t>
      </w:r>
      <w:r w:rsidR="00D007E6" w:rsidRPr="00320AA1">
        <w:rPr>
          <w:rFonts w:ascii="Arial" w:hAnsi="Arial" w:cs="Arial"/>
          <w:b/>
        </w:rPr>
        <w:t>liczba uczestników projektu objętych kompleksowym wsparciem</w:t>
      </w:r>
      <w:r w:rsidR="00DE7381" w:rsidRPr="00320AA1">
        <w:rPr>
          <w:rFonts w:ascii="Arial" w:hAnsi="Arial" w:cs="Arial"/>
          <w:b/>
        </w:rPr>
        <w:t xml:space="preserve"> w celu poprawy ich sytuacji na rynku pracy</w:t>
      </w:r>
      <w:r w:rsidR="00233043" w:rsidRPr="00320AA1">
        <w:rPr>
          <w:rFonts w:ascii="Arial" w:hAnsi="Arial" w:cs="Arial"/>
          <w:b/>
        </w:rPr>
        <w:t xml:space="preserve"> (90%</w:t>
      </w:r>
      <w:r w:rsidR="00F67732" w:rsidRPr="00320AA1">
        <w:rPr>
          <w:rFonts w:ascii="Arial" w:hAnsi="Arial" w:cs="Arial"/>
          <w:b/>
        </w:rPr>
        <w:t xml:space="preserve"> stawki</w:t>
      </w:r>
      <w:r w:rsidR="00233043" w:rsidRPr="00320AA1">
        <w:rPr>
          <w:rFonts w:ascii="Arial" w:hAnsi="Arial" w:cs="Arial"/>
          <w:b/>
        </w:rPr>
        <w:t>),</w:t>
      </w:r>
    </w:p>
    <w:p w:rsidR="00233043" w:rsidRPr="00320AA1" w:rsidRDefault="00DF0FE6" w:rsidP="00320AA1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dla </w:t>
      </w:r>
      <w:r w:rsidR="00233043" w:rsidRPr="00495CED">
        <w:rPr>
          <w:rFonts w:ascii="Arial" w:hAnsi="Arial" w:cs="Arial"/>
        </w:rPr>
        <w:t xml:space="preserve">stawki jednostkowej wsparcia osób młodych pracujących opuszczających projekt: </w:t>
      </w:r>
      <w:r w:rsidR="00805E41">
        <w:rPr>
          <w:rFonts w:ascii="Arial" w:hAnsi="Arial" w:cs="Arial"/>
        </w:rPr>
        <w:br/>
      </w:r>
      <w:r w:rsidR="00233043" w:rsidRPr="00320AA1">
        <w:rPr>
          <w:rFonts w:ascii="Arial" w:hAnsi="Arial" w:cs="Arial"/>
          <w:b/>
        </w:rPr>
        <w:t xml:space="preserve">liczba </w:t>
      </w:r>
      <w:r w:rsidR="00F67732" w:rsidRPr="00320AA1">
        <w:rPr>
          <w:rFonts w:ascii="Arial" w:hAnsi="Arial" w:cs="Arial"/>
          <w:b/>
        </w:rPr>
        <w:t>u</w:t>
      </w:r>
      <w:r w:rsidR="00233043" w:rsidRPr="00320AA1">
        <w:rPr>
          <w:rFonts w:ascii="Arial" w:hAnsi="Arial" w:cs="Arial"/>
          <w:b/>
        </w:rPr>
        <w:t>czestników projektu objętych wsparciem</w:t>
      </w:r>
      <w:r w:rsidR="00F67732" w:rsidRPr="00320AA1">
        <w:rPr>
          <w:rFonts w:ascii="Arial" w:hAnsi="Arial" w:cs="Arial"/>
          <w:b/>
        </w:rPr>
        <w:t>, którzy opuścili projekt</w:t>
      </w:r>
      <w:r w:rsidR="00C0231D">
        <w:rPr>
          <w:rFonts w:ascii="Arial" w:hAnsi="Arial" w:cs="Arial"/>
          <w:b/>
        </w:rPr>
        <w:t xml:space="preserve"> </w:t>
      </w:r>
      <w:r w:rsidR="00324A73">
        <w:rPr>
          <w:rFonts w:ascii="Arial" w:hAnsi="Arial" w:cs="Arial"/>
          <w:b/>
        </w:rPr>
        <w:t>w</w:t>
      </w:r>
      <w:r w:rsidR="00C0231D" w:rsidRPr="00C0231D">
        <w:rPr>
          <w:rFonts w:ascii="Arial" w:hAnsi="Arial" w:cs="Arial"/>
          <w:b/>
        </w:rPr>
        <w:t xml:space="preserve"> </w:t>
      </w:r>
      <w:r w:rsidR="00805E41">
        <w:rPr>
          <w:rFonts w:ascii="Arial" w:hAnsi="Arial" w:cs="Arial"/>
          <w:b/>
        </w:rPr>
        <w:t xml:space="preserve">związku </w:t>
      </w:r>
      <w:r w:rsidR="00AA6D4D">
        <w:rPr>
          <w:rFonts w:ascii="Arial" w:hAnsi="Arial" w:cs="Arial"/>
          <w:b/>
        </w:rPr>
        <w:br/>
      </w:r>
      <w:r w:rsidR="00805E41">
        <w:rPr>
          <w:rFonts w:ascii="Arial" w:hAnsi="Arial" w:cs="Arial"/>
          <w:b/>
        </w:rPr>
        <w:t xml:space="preserve">z </w:t>
      </w:r>
      <w:r w:rsidR="00C0231D" w:rsidRPr="00C0231D">
        <w:rPr>
          <w:rFonts w:ascii="Arial" w:hAnsi="Arial" w:cs="Arial"/>
          <w:b/>
        </w:rPr>
        <w:t>popraw</w:t>
      </w:r>
      <w:r w:rsidR="00805E41">
        <w:rPr>
          <w:rFonts w:ascii="Arial" w:hAnsi="Arial" w:cs="Arial"/>
          <w:b/>
        </w:rPr>
        <w:t>ą</w:t>
      </w:r>
      <w:r w:rsidR="00C0231D" w:rsidRPr="00C0231D">
        <w:rPr>
          <w:rFonts w:ascii="Arial" w:hAnsi="Arial" w:cs="Arial"/>
          <w:b/>
        </w:rPr>
        <w:t xml:space="preserve"> </w:t>
      </w:r>
      <w:r w:rsidR="00AA6D4D">
        <w:rPr>
          <w:rFonts w:ascii="Arial" w:hAnsi="Arial" w:cs="Arial"/>
          <w:b/>
        </w:rPr>
        <w:t xml:space="preserve">ich </w:t>
      </w:r>
      <w:r w:rsidR="00C0231D" w:rsidRPr="00C0231D">
        <w:rPr>
          <w:rFonts w:ascii="Arial" w:hAnsi="Arial" w:cs="Arial"/>
          <w:b/>
        </w:rPr>
        <w:t>sytuacji na rynku pracy</w:t>
      </w:r>
      <w:r w:rsidR="00DE7381" w:rsidRPr="00320AA1">
        <w:rPr>
          <w:rFonts w:ascii="Arial" w:hAnsi="Arial" w:cs="Arial"/>
          <w:b/>
        </w:rPr>
        <w:t xml:space="preserve"> </w:t>
      </w:r>
      <w:r w:rsidR="00233043" w:rsidRPr="00320AA1">
        <w:rPr>
          <w:rFonts w:ascii="Arial" w:hAnsi="Arial" w:cs="Arial"/>
          <w:b/>
        </w:rPr>
        <w:t>(50%</w:t>
      </w:r>
      <w:r w:rsidR="00F67732" w:rsidRPr="00320AA1">
        <w:rPr>
          <w:rFonts w:ascii="Arial" w:hAnsi="Arial" w:cs="Arial"/>
          <w:b/>
        </w:rPr>
        <w:t xml:space="preserve"> stawki</w:t>
      </w:r>
      <w:r w:rsidR="00233043" w:rsidRPr="00320AA1">
        <w:rPr>
          <w:rFonts w:ascii="Arial" w:hAnsi="Arial" w:cs="Arial"/>
          <w:b/>
        </w:rPr>
        <w:t>).</w:t>
      </w:r>
    </w:p>
    <w:p w:rsidR="00233043" w:rsidRPr="00320AA1" w:rsidRDefault="00233043" w:rsidP="00320AA1">
      <w:pPr>
        <w:rPr>
          <w:rFonts w:ascii="Arial" w:hAnsi="Arial" w:cs="Arial"/>
        </w:rPr>
      </w:pPr>
    </w:p>
    <w:p w:rsidR="002E5BD9" w:rsidRDefault="002E5BD9" w:rsidP="00682511">
      <w:pPr>
        <w:spacing w:after="120"/>
        <w:jc w:val="both"/>
        <w:rPr>
          <w:rFonts w:ascii="Arial" w:hAnsi="Arial" w:cs="Arial"/>
        </w:rPr>
      </w:pPr>
      <w:r w:rsidRPr="002E5BD9">
        <w:rPr>
          <w:rFonts w:ascii="Arial" w:hAnsi="Arial" w:cs="Arial"/>
        </w:rPr>
        <w:t xml:space="preserve">Do osiągniętej wartości </w:t>
      </w:r>
      <w:r w:rsidR="00540AC5">
        <w:rPr>
          <w:rFonts w:ascii="Arial" w:hAnsi="Arial" w:cs="Arial"/>
        </w:rPr>
        <w:t xml:space="preserve">ww. </w:t>
      </w:r>
      <w:r w:rsidRPr="002E5BD9">
        <w:rPr>
          <w:rFonts w:ascii="Arial" w:hAnsi="Arial" w:cs="Arial"/>
        </w:rPr>
        <w:t>wskaźnik</w:t>
      </w:r>
      <w:r w:rsidR="00540AC5">
        <w:rPr>
          <w:rFonts w:ascii="Arial" w:hAnsi="Arial" w:cs="Arial"/>
        </w:rPr>
        <w:t>ów</w:t>
      </w:r>
      <w:r w:rsidRPr="002E5BD9">
        <w:rPr>
          <w:rFonts w:ascii="Arial" w:hAnsi="Arial" w:cs="Arial"/>
        </w:rPr>
        <w:t xml:space="preserve"> można policzyć osobę, </w:t>
      </w:r>
      <w:r w:rsidR="00D20867">
        <w:rPr>
          <w:rFonts w:ascii="Arial" w:hAnsi="Arial" w:cs="Arial"/>
        </w:rPr>
        <w:t xml:space="preserve">dla której opracowano IPD, </w:t>
      </w:r>
      <w:r w:rsidRPr="002E5BD9">
        <w:rPr>
          <w:rFonts w:ascii="Arial" w:hAnsi="Arial" w:cs="Arial"/>
        </w:rPr>
        <w:t>któr</w:t>
      </w:r>
      <w:r w:rsidR="00582E6A">
        <w:rPr>
          <w:rFonts w:ascii="Arial" w:hAnsi="Arial" w:cs="Arial"/>
        </w:rPr>
        <w:t xml:space="preserve">ej udzielono poradnictwa zawodowego </w:t>
      </w:r>
      <w:r w:rsidR="003C58EE">
        <w:rPr>
          <w:rFonts w:ascii="Arial" w:hAnsi="Arial" w:cs="Arial"/>
        </w:rPr>
        <w:t>i/</w:t>
      </w:r>
      <w:r w:rsidR="00CE426F">
        <w:rPr>
          <w:rFonts w:ascii="Arial" w:hAnsi="Arial" w:cs="Arial"/>
        </w:rPr>
        <w:t>lub</w:t>
      </w:r>
      <w:r w:rsidR="00582E6A">
        <w:rPr>
          <w:rFonts w:ascii="Arial" w:hAnsi="Arial" w:cs="Arial"/>
        </w:rPr>
        <w:t xml:space="preserve"> pośrednictwa pracy oraz która ukończyła udział w innych formach wsparcia wynikających z </w:t>
      </w:r>
      <w:r w:rsidR="00495CED" w:rsidRPr="00320AA1">
        <w:rPr>
          <w:rFonts w:ascii="Arial" w:hAnsi="Arial" w:cs="Arial"/>
        </w:rPr>
        <w:t>IPD</w:t>
      </w:r>
      <w:r w:rsidR="00495CED">
        <w:rPr>
          <w:rFonts w:ascii="Arial" w:hAnsi="Arial" w:cs="Arial"/>
          <w:i/>
        </w:rPr>
        <w:t xml:space="preserve"> </w:t>
      </w:r>
      <w:r w:rsidR="00582E6A">
        <w:rPr>
          <w:rFonts w:ascii="Arial" w:hAnsi="Arial" w:cs="Arial"/>
        </w:rPr>
        <w:t>(</w:t>
      </w:r>
      <w:r w:rsidR="00582E6A" w:rsidRPr="00582E6A">
        <w:rPr>
          <w:rFonts w:ascii="Arial" w:hAnsi="Arial" w:cs="Arial"/>
        </w:rPr>
        <w:t>lub inn</w:t>
      </w:r>
      <w:r w:rsidR="00582E6A">
        <w:rPr>
          <w:rFonts w:ascii="Arial" w:hAnsi="Arial" w:cs="Arial"/>
        </w:rPr>
        <w:t>ego</w:t>
      </w:r>
      <w:r w:rsidR="00582E6A" w:rsidRPr="00582E6A">
        <w:rPr>
          <w:rFonts w:ascii="Arial" w:hAnsi="Arial" w:cs="Arial"/>
        </w:rPr>
        <w:t xml:space="preserve"> dokument</w:t>
      </w:r>
      <w:r w:rsidR="00582E6A">
        <w:rPr>
          <w:rFonts w:ascii="Arial" w:hAnsi="Arial" w:cs="Arial"/>
        </w:rPr>
        <w:t>u</w:t>
      </w:r>
      <w:r w:rsidR="00582E6A" w:rsidRPr="00582E6A">
        <w:rPr>
          <w:rFonts w:ascii="Arial" w:hAnsi="Arial" w:cs="Arial"/>
        </w:rPr>
        <w:t xml:space="preserve"> pełniąc</w:t>
      </w:r>
      <w:r w:rsidR="00183FC1">
        <w:rPr>
          <w:rFonts w:ascii="Arial" w:hAnsi="Arial" w:cs="Arial"/>
        </w:rPr>
        <w:t>ego</w:t>
      </w:r>
      <w:r w:rsidR="00582E6A" w:rsidRPr="00582E6A">
        <w:rPr>
          <w:rFonts w:ascii="Arial" w:hAnsi="Arial" w:cs="Arial"/>
        </w:rPr>
        <w:t xml:space="preserve"> analogiczną funkcję</w:t>
      </w:r>
      <w:r w:rsidR="00582E6A">
        <w:rPr>
          <w:rFonts w:ascii="Arial" w:hAnsi="Arial" w:cs="Arial"/>
        </w:rPr>
        <w:t>)</w:t>
      </w:r>
      <w:r w:rsidR="00582E6A" w:rsidRPr="00582E6A">
        <w:rPr>
          <w:rFonts w:ascii="Arial" w:hAnsi="Arial" w:cs="Arial"/>
        </w:rPr>
        <w:t xml:space="preserve"> </w:t>
      </w:r>
      <w:r w:rsidR="00122A7D">
        <w:rPr>
          <w:rFonts w:ascii="Arial" w:hAnsi="Arial" w:cs="Arial"/>
        </w:rPr>
        <w:t xml:space="preserve">– </w:t>
      </w:r>
      <w:r w:rsidR="00582E6A">
        <w:rPr>
          <w:rFonts w:ascii="Arial" w:hAnsi="Arial" w:cs="Arial"/>
        </w:rPr>
        <w:t>zgodnych</w:t>
      </w:r>
      <w:r w:rsidR="00122A7D">
        <w:rPr>
          <w:rFonts w:ascii="Arial" w:hAnsi="Arial" w:cs="Arial"/>
        </w:rPr>
        <w:t xml:space="preserve"> </w:t>
      </w:r>
      <w:r w:rsidR="00582E6A">
        <w:rPr>
          <w:rFonts w:ascii="Arial" w:hAnsi="Arial" w:cs="Arial"/>
        </w:rPr>
        <w:t>z</w:t>
      </w:r>
      <w:r w:rsidRPr="002E5BD9">
        <w:rPr>
          <w:rFonts w:ascii="Arial" w:hAnsi="Arial" w:cs="Arial"/>
        </w:rPr>
        <w:t xml:space="preserve"> </w:t>
      </w:r>
      <w:r w:rsidRPr="002E5BD9">
        <w:rPr>
          <w:rFonts w:ascii="Arial" w:hAnsi="Arial" w:cs="Arial"/>
          <w:i/>
        </w:rPr>
        <w:t>Wytycznymi w zakresie realizacji przedsięwzięć z udziałem środków EFS w obszarze rynku pracy na lata 2014-2020</w:t>
      </w:r>
      <w:r w:rsidR="00B9642D">
        <w:rPr>
          <w:rFonts w:ascii="Arial" w:hAnsi="Arial" w:cs="Arial"/>
        </w:rPr>
        <w:t>.</w:t>
      </w:r>
      <w:r w:rsidR="00A6446D">
        <w:rPr>
          <w:rFonts w:ascii="Arial" w:hAnsi="Arial" w:cs="Arial"/>
        </w:rPr>
        <w:t xml:space="preserve"> </w:t>
      </w:r>
    </w:p>
    <w:p w:rsidR="006A2520" w:rsidRDefault="006A2520" w:rsidP="002E5BD9">
      <w:pPr>
        <w:jc w:val="both"/>
        <w:rPr>
          <w:rFonts w:ascii="Arial" w:hAnsi="Arial" w:cs="Arial"/>
          <w:b/>
        </w:rPr>
      </w:pPr>
    </w:p>
    <w:p w:rsidR="00393C9C" w:rsidRPr="00196BE3" w:rsidRDefault="00196BE3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70" w:name="_Toc510100705"/>
      <w:r>
        <w:rPr>
          <w:rFonts w:ascii="Arial" w:hAnsi="Arial" w:cs="Arial"/>
          <w:b/>
        </w:rPr>
        <w:t>Ź</w:t>
      </w:r>
      <w:r w:rsidR="00393C9C" w:rsidRPr="00196BE3">
        <w:rPr>
          <w:rFonts w:ascii="Arial" w:hAnsi="Arial" w:cs="Arial"/>
          <w:b/>
        </w:rPr>
        <w:t>ródło danych użytych do kalkulacji staw</w:t>
      </w:r>
      <w:r w:rsidR="007E5864">
        <w:rPr>
          <w:rFonts w:ascii="Arial" w:hAnsi="Arial" w:cs="Arial"/>
          <w:b/>
        </w:rPr>
        <w:t>e</w:t>
      </w:r>
      <w:r w:rsidR="00393C9C" w:rsidRPr="00196BE3">
        <w:rPr>
          <w:rFonts w:ascii="Arial" w:hAnsi="Arial" w:cs="Arial"/>
          <w:b/>
        </w:rPr>
        <w:t xml:space="preserve">k </w:t>
      </w:r>
      <w:r w:rsidR="007E5864" w:rsidRPr="00196BE3">
        <w:rPr>
          <w:rFonts w:ascii="Arial" w:hAnsi="Arial" w:cs="Arial"/>
          <w:b/>
        </w:rPr>
        <w:t>jednostkow</w:t>
      </w:r>
      <w:r w:rsidR="007E5864">
        <w:rPr>
          <w:rFonts w:ascii="Arial" w:hAnsi="Arial" w:cs="Arial"/>
          <w:b/>
        </w:rPr>
        <w:t>ych</w:t>
      </w:r>
      <w:r w:rsidR="00393C9C" w:rsidRPr="00196BE3">
        <w:rPr>
          <w:rFonts w:ascii="Arial" w:hAnsi="Arial" w:cs="Arial"/>
          <w:b/>
        </w:rPr>
        <w:t>, załączone dane źródłowe, miejsce ich przechowywania oraz wskazanie okresu, którego te dane dotyczą</w:t>
      </w:r>
      <w:bookmarkEnd w:id="70"/>
    </w:p>
    <w:p w:rsidR="00F14211" w:rsidRDefault="003E7005" w:rsidP="003E7005">
      <w:pPr>
        <w:spacing w:after="120"/>
        <w:jc w:val="both"/>
        <w:rPr>
          <w:rFonts w:ascii="Arial" w:hAnsi="Arial" w:cs="Arial"/>
          <w:color w:val="000000"/>
        </w:rPr>
      </w:pPr>
      <w:r w:rsidRPr="003E7005">
        <w:rPr>
          <w:rFonts w:ascii="Arial" w:hAnsi="Arial" w:cs="Arial"/>
          <w:color w:val="000000"/>
        </w:rPr>
        <w:t>Koszt staw</w:t>
      </w:r>
      <w:r w:rsidR="00540AC5">
        <w:rPr>
          <w:rFonts w:ascii="Arial" w:hAnsi="Arial" w:cs="Arial"/>
          <w:color w:val="000000"/>
        </w:rPr>
        <w:t>ek</w:t>
      </w:r>
      <w:r w:rsidRPr="003E7005">
        <w:rPr>
          <w:rFonts w:ascii="Arial" w:hAnsi="Arial" w:cs="Arial"/>
          <w:color w:val="000000"/>
        </w:rPr>
        <w:t xml:space="preserve"> </w:t>
      </w:r>
      <w:r w:rsidR="00540AC5">
        <w:rPr>
          <w:rFonts w:ascii="Arial" w:hAnsi="Arial" w:cs="Arial"/>
          <w:color w:val="000000"/>
        </w:rPr>
        <w:t xml:space="preserve">jednostkowych </w:t>
      </w:r>
      <w:r w:rsidRPr="003E7005">
        <w:rPr>
          <w:rFonts w:ascii="Arial" w:hAnsi="Arial" w:cs="Arial"/>
          <w:color w:val="000000"/>
        </w:rPr>
        <w:t>został wyliczony w oparciu o dane historyczne 3</w:t>
      </w:r>
      <w:r w:rsidR="00685B4F">
        <w:rPr>
          <w:rFonts w:ascii="Arial" w:hAnsi="Arial" w:cs="Arial"/>
          <w:color w:val="000000"/>
        </w:rPr>
        <w:t>32</w:t>
      </w:r>
      <w:r w:rsidRPr="003E7005">
        <w:rPr>
          <w:rFonts w:ascii="Arial" w:hAnsi="Arial" w:cs="Arial"/>
          <w:color w:val="000000"/>
        </w:rPr>
        <w:t xml:space="preserve"> adekwatnych projektów realizowanych ze środków EFS w perspektywie finansowej 2007-2013 w ramach Programu Operacyjnego Kapitał Ludzki (PO KL)</w:t>
      </w:r>
      <w:r w:rsidR="00FA0021">
        <w:rPr>
          <w:rFonts w:ascii="Arial" w:hAnsi="Arial" w:cs="Arial"/>
          <w:color w:val="000000"/>
        </w:rPr>
        <w:t>.</w:t>
      </w:r>
      <w:r w:rsidRPr="003E7005">
        <w:rPr>
          <w:rFonts w:ascii="Arial" w:hAnsi="Arial" w:cs="Arial"/>
          <w:color w:val="000000"/>
        </w:rPr>
        <w:t xml:space="preserve"> </w:t>
      </w:r>
      <w:r w:rsidR="00FA0021">
        <w:rPr>
          <w:rFonts w:ascii="Arial" w:hAnsi="Arial" w:cs="Arial"/>
          <w:color w:val="000000"/>
        </w:rPr>
        <w:t>W</w:t>
      </w:r>
      <w:r w:rsidRPr="003E7005">
        <w:rPr>
          <w:rFonts w:ascii="Arial" w:hAnsi="Arial" w:cs="Arial"/>
          <w:color w:val="000000"/>
        </w:rPr>
        <w:t>ynik</w:t>
      </w:r>
      <w:r>
        <w:rPr>
          <w:rFonts w:ascii="Arial" w:hAnsi="Arial" w:cs="Arial"/>
          <w:color w:val="000000"/>
        </w:rPr>
        <w:t>i</w:t>
      </w:r>
      <w:r w:rsidRPr="003E7005">
        <w:rPr>
          <w:rFonts w:ascii="Arial" w:hAnsi="Arial" w:cs="Arial"/>
          <w:color w:val="000000"/>
        </w:rPr>
        <w:t xml:space="preserve"> badania stanowią załącznik do niniejszego dokumentu. </w:t>
      </w:r>
    </w:p>
    <w:p w:rsidR="003E7005" w:rsidRDefault="003E7005" w:rsidP="003E7005">
      <w:pPr>
        <w:spacing w:after="120"/>
        <w:jc w:val="both"/>
        <w:rPr>
          <w:rFonts w:ascii="Arial" w:hAnsi="Arial" w:cs="Arial"/>
        </w:rPr>
      </w:pPr>
      <w:r w:rsidRPr="003E7005">
        <w:rPr>
          <w:rFonts w:ascii="Arial" w:hAnsi="Arial" w:cs="Arial"/>
          <w:color w:val="000000"/>
        </w:rPr>
        <w:t xml:space="preserve">Wybrane do analizy wnioski o dofinansowanie dotyczą projektów </w:t>
      </w:r>
      <w:r>
        <w:rPr>
          <w:rFonts w:ascii="Arial" w:hAnsi="Arial" w:cs="Arial"/>
          <w:color w:val="000000"/>
        </w:rPr>
        <w:t xml:space="preserve">konkursowych </w:t>
      </w:r>
      <w:r w:rsidRPr="003E7005">
        <w:rPr>
          <w:rFonts w:ascii="Arial" w:hAnsi="Arial" w:cs="Arial"/>
          <w:color w:val="000000"/>
        </w:rPr>
        <w:t xml:space="preserve">realizowanych </w:t>
      </w:r>
      <w:r w:rsidR="00FA0021">
        <w:rPr>
          <w:rFonts w:ascii="Arial" w:hAnsi="Arial" w:cs="Arial"/>
          <w:color w:val="000000"/>
        </w:rPr>
        <w:br/>
      </w:r>
      <w:r w:rsidRPr="003E7005">
        <w:rPr>
          <w:rFonts w:ascii="Arial" w:hAnsi="Arial" w:cs="Arial"/>
          <w:color w:val="000000"/>
        </w:rPr>
        <w:t xml:space="preserve">w ramach Poddziałania 6.1.1 oraz 7.2.1 PO KL, gdzie wsparcie kierowane było przeważnie do osób młodych. Spośród projektów Poddziałań 6.1.1 i 7.2.1 PO KL wybrano te projekty, w ramach których </w:t>
      </w:r>
      <w:r w:rsidR="00FA0021">
        <w:rPr>
          <w:rFonts w:ascii="Arial" w:hAnsi="Arial" w:cs="Arial"/>
          <w:color w:val="000000"/>
        </w:rPr>
        <w:t>r</w:t>
      </w:r>
      <w:r w:rsidRPr="003E7005">
        <w:rPr>
          <w:rFonts w:ascii="Arial" w:hAnsi="Arial" w:cs="Arial"/>
          <w:color w:val="000000"/>
        </w:rPr>
        <w:t>ealizowane były co najmniej 3 formy wsparcia ze względu na wymóg płynący z kryteriów wyboru projektu</w:t>
      </w:r>
      <w:r w:rsidR="00183FC1">
        <w:rPr>
          <w:rFonts w:ascii="Arial" w:hAnsi="Arial" w:cs="Arial"/>
          <w:color w:val="000000"/>
        </w:rPr>
        <w:t xml:space="preserve"> oraz w których wymagane było spełnienie kryterium efektywności zatrudnieniowej</w:t>
      </w:r>
      <w:r w:rsidRPr="003E7005">
        <w:rPr>
          <w:rFonts w:ascii="Arial" w:hAnsi="Arial" w:cs="Arial"/>
          <w:color w:val="000000"/>
        </w:rPr>
        <w:t xml:space="preserve">. Ich łączna wartość zgodnie z zatwierdzonymi wnioskami o dofinansowanie stanowi prawie 350 milionów złotych, a w ich ramach wsparto prawie 26 tysięcy osób. </w:t>
      </w:r>
      <w:r w:rsidRPr="003E7005">
        <w:rPr>
          <w:rFonts w:ascii="Arial" w:hAnsi="Arial" w:cs="Arial"/>
        </w:rPr>
        <w:t>W badanych projektach PO KL uczestnicy byli aktywizowani przy pomocy różnorodnych form wsparcia, przede wszystkim szkoleń, staży zawodowych, doradztwa zawodowego i pośrednictwa pracy. Najczęściej udzielanymi formami wsparcia były szkolenia i staże zawodowe. W badanych projektach nie wykazano dotacji na rozpoczęcie działalności gospodarczej oraz wsparcia pomostowego.</w:t>
      </w:r>
    </w:p>
    <w:p w:rsidR="003E7005" w:rsidRPr="003E7005" w:rsidRDefault="003E7005" w:rsidP="003E7005">
      <w:pPr>
        <w:spacing w:after="120"/>
        <w:jc w:val="both"/>
        <w:outlineLvl w:val="0"/>
        <w:rPr>
          <w:rFonts w:ascii="Arial" w:hAnsi="Arial" w:cs="Arial"/>
          <w:b/>
          <w:i/>
        </w:rPr>
      </w:pPr>
    </w:p>
    <w:p w:rsidR="00393C9C" w:rsidRDefault="00393C9C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71" w:name="_Toc510100706"/>
      <w:r w:rsidRPr="00F14211">
        <w:rPr>
          <w:rFonts w:ascii="Arial" w:hAnsi="Arial" w:cs="Arial"/>
          <w:b/>
        </w:rPr>
        <w:t xml:space="preserve">Uzasadnienie, dlaczego proponowana kalkulacja jest odpowiednia dla </w:t>
      </w:r>
      <w:r w:rsidR="00A10CF7" w:rsidRPr="00F14211">
        <w:rPr>
          <w:rFonts w:ascii="Arial" w:hAnsi="Arial" w:cs="Arial"/>
          <w:b/>
        </w:rPr>
        <w:t>dan</w:t>
      </w:r>
      <w:r w:rsidR="00A10CF7">
        <w:rPr>
          <w:rFonts w:ascii="Arial" w:hAnsi="Arial" w:cs="Arial"/>
          <w:b/>
        </w:rPr>
        <w:t>ych</w:t>
      </w:r>
      <w:r w:rsidR="00A10CF7" w:rsidRPr="00F14211">
        <w:rPr>
          <w:rFonts w:ascii="Arial" w:hAnsi="Arial" w:cs="Arial"/>
          <w:b/>
        </w:rPr>
        <w:t xml:space="preserve"> </w:t>
      </w:r>
      <w:r w:rsidRPr="00F14211">
        <w:rPr>
          <w:rFonts w:ascii="Arial" w:hAnsi="Arial" w:cs="Arial"/>
          <w:b/>
        </w:rPr>
        <w:t>staw</w:t>
      </w:r>
      <w:r w:rsidR="00540AC5">
        <w:rPr>
          <w:rFonts w:ascii="Arial" w:hAnsi="Arial" w:cs="Arial"/>
          <w:b/>
        </w:rPr>
        <w:t>ek</w:t>
      </w:r>
      <w:r w:rsidRPr="00F14211">
        <w:rPr>
          <w:rFonts w:ascii="Arial" w:hAnsi="Arial" w:cs="Arial"/>
          <w:b/>
        </w:rPr>
        <w:t xml:space="preserve"> jednostkow</w:t>
      </w:r>
      <w:r w:rsidR="00540AC5">
        <w:rPr>
          <w:rFonts w:ascii="Arial" w:hAnsi="Arial" w:cs="Arial"/>
          <w:b/>
        </w:rPr>
        <w:t>ych</w:t>
      </w:r>
      <w:bookmarkEnd w:id="71"/>
      <w:r w:rsidR="00540AC5">
        <w:rPr>
          <w:rFonts w:ascii="Arial" w:hAnsi="Arial" w:cs="Arial"/>
          <w:b/>
        </w:rPr>
        <w:t xml:space="preserve"> </w:t>
      </w:r>
    </w:p>
    <w:p w:rsidR="00AA1556" w:rsidRDefault="00AA1556" w:rsidP="00AA1556">
      <w:pPr>
        <w:spacing w:after="120"/>
        <w:jc w:val="both"/>
        <w:rPr>
          <w:rFonts w:ascii="Arial" w:hAnsi="Arial" w:cs="Arial"/>
          <w:color w:val="000000"/>
        </w:rPr>
      </w:pPr>
      <w:r w:rsidRPr="00AA1556">
        <w:rPr>
          <w:rFonts w:ascii="Arial" w:hAnsi="Arial" w:cs="Arial"/>
          <w:color w:val="000000"/>
        </w:rPr>
        <w:t xml:space="preserve">Zastosowana metoda kalkulacji </w:t>
      </w:r>
      <w:r>
        <w:rPr>
          <w:rFonts w:ascii="Arial" w:hAnsi="Arial" w:cs="Arial"/>
          <w:color w:val="000000"/>
        </w:rPr>
        <w:t>staw</w:t>
      </w:r>
      <w:r w:rsidR="007E5864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k </w:t>
      </w:r>
      <w:r w:rsidRPr="00AA1556">
        <w:rPr>
          <w:rFonts w:ascii="Arial" w:hAnsi="Arial" w:cs="Arial"/>
          <w:color w:val="000000"/>
        </w:rPr>
        <w:t xml:space="preserve">jest właściwa, gdyż wyliczeń dokonano na podstawie danych historycznych pochodzących z zakończonych projektów PO KL, w których rozliczono analogiczne </w:t>
      </w:r>
      <w:r w:rsidRPr="00AA1556">
        <w:rPr>
          <w:rFonts w:ascii="Arial" w:hAnsi="Arial" w:cs="Arial"/>
          <w:color w:val="000000"/>
        </w:rPr>
        <w:lastRenderedPageBreak/>
        <w:t>koszty wsparcia kierowanego do uczestników projektów EFS. Stawk</w:t>
      </w:r>
      <w:r w:rsidR="007E5864">
        <w:rPr>
          <w:rFonts w:ascii="Arial" w:hAnsi="Arial" w:cs="Arial"/>
          <w:color w:val="000000"/>
        </w:rPr>
        <w:t>i</w:t>
      </w:r>
      <w:r w:rsidRPr="00AA1556">
        <w:rPr>
          <w:rFonts w:ascii="Arial" w:hAnsi="Arial" w:cs="Arial"/>
          <w:color w:val="000000"/>
        </w:rPr>
        <w:t xml:space="preserve"> jednostkow</w:t>
      </w:r>
      <w:r w:rsidR="007E5864">
        <w:rPr>
          <w:rFonts w:ascii="Arial" w:hAnsi="Arial" w:cs="Arial"/>
          <w:color w:val="000000"/>
        </w:rPr>
        <w:t>e</w:t>
      </w:r>
      <w:r w:rsidRPr="00AA1556">
        <w:rPr>
          <w:rFonts w:ascii="Arial" w:hAnsi="Arial" w:cs="Arial"/>
          <w:color w:val="000000"/>
        </w:rPr>
        <w:t xml:space="preserve"> został</w:t>
      </w:r>
      <w:r w:rsidR="007E5864">
        <w:rPr>
          <w:rFonts w:ascii="Arial" w:hAnsi="Arial" w:cs="Arial"/>
          <w:color w:val="000000"/>
        </w:rPr>
        <w:t>y</w:t>
      </w:r>
      <w:r w:rsidRPr="00AA1556">
        <w:rPr>
          <w:rFonts w:ascii="Arial" w:hAnsi="Arial" w:cs="Arial"/>
          <w:color w:val="000000"/>
        </w:rPr>
        <w:t xml:space="preserve"> wyliczon</w:t>
      </w:r>
      <w:r w:rsidR="007E5864">
        <w:rPr>
          <w:rFonts w:ascii="Arial" w:hAnsi="Arial" w:cs="Arial"/>
          <w:color w:val="000000"/>
        </w:rPr>
        <w:t>e</w:t>
      </w:r>
      <w:r w:rsidRPr="00AA1556">
        <w:rPr>
          <w:rFonts w:ascii="Arial" w:hAnsi="Arial" w:cs="Arial"/>
          <w:color w:val="000000"/>
        </w:rPr>
        <w:t xml:space="preserve"> na podstawie danych z projektów z roku 2012, 2013 i 2014 i nie został</w:t>
      </w:r>
      <w:r w:rsidR="007E5864">
        <w:rPr>
          <w:rFonts w:ascii="Arial" w:hAnsi="Arial" w:cs="Arial"/>
          <w:color w:val="000000"/>
        </w:rPr>
        <w:t>y</w:t>
      </w:r>
      <w:r w:rsidRPr="00AA1556">
        <w:rPr>
          <w:rFonts w:ascii="Arial" w:hAnsi="Arial" w:cs="Arial"/>
          <w:color w:val="000000"/>
        </w:rPr>
        <w:t xml:space="preserve"> zwiększon</w:t>
      </w:r>
      <w:r w:rsidR="007E5864">
        <w:rPr>
          <w:rFonts w:ascii="Arial" w:hAnsi="Arial" w:cs="Arial"/>
          <w:color w:val="000000"/>
        </w:rPr>
        <w:t>e</w:t>
      </w:r>
      <w:r w:rsidRPr="00AA1556">
        <w:rPr>
          <w:rFonts w:ascii="Arial" w:hAnsi="Arial" w:cs="Arial"/>
          <w:color w:val="000000"/>
        </w:rPr>
        <w:t xml:space="preserve"> z uwagi na brak inflacji w latach 2015 i 2016.</w:t>
      </w:r>
    </w:p>
    <w:p w:rsidR="00102AAA" w:rsidRDefault="00102AAA" w:rsidP="00AA1556">
      <w:pPr>
        <w:spacing w:after="120"/>
        <w:jc w:val="both"/>
        <w:outlineLvl w:val="0"/>
        <w:rPr>
          <w:rFonts w:ascii="Arial" w:hAnsi="Arial" w:cs="Arial"/>
          <w:b/>
        </w:rPr>
      </w:pPr>
    </w:p>
    <w:p w:rsidR="00393C9C" w:rsidRPr="00F14211" w:rsidRDefault="00393C9C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72" w:name="_Toc506793892"/>
      <w:bookmarkStart w:id="73" w:name="_Toc506793914"/>
      <w:bookmarkStart w:id="74" w:name="_Toc506793981"/>
      <w:bookmarkStart w:id="75" w:name="_Toc506794013"/>
      <w:bookmarkStart w:id="76" w:name="_Toc510100707"/>
      <w:bookmarkEnd w:id="72"/>
      <w:bookmarkEnd w:id="73"/>
      <w:bookmarkEnd w:id="74"/>
      <w:bookmarkEnd w:id="75"/>
      <w:r w:rsidRPr="00F14211">
        <w:rPr>
          <w:rFonts w:ascii="Arial" w:hAnsi="Arial" w:cs="Arial"/>
          <w:b/>
        </w:rPr>
        <w:t>Opis sposobu kalkulacji staw</w:t>
      </w:r>
      <w:r w:rsidR="00540AC5">
        <w:rPr>
          <w:rFonts w:ascii="Arial" w:hAnsi="Arial" w:cs="Arial"/>
          <w:b/>
        </w:rPr>
        <w:t>ek</w:t>
      </w:r>
      <w:r w:rsidRPr="00F14211">
        <w:rPr>
          <w:rFonts w:ascii="Arial" w:hAnsi="Arial" w:cs="Arial"/>
          <w:b/>
        </w:rPr>
        <w:t>, w tym założenia w zakresie ja</w:t>
      </w:r>
      <w:r w:rsidR="00D35E78" w:rsidRPr="00F14211">
        <w:rPr>
          <w:rFonts w:ascii="Arial" w:hAnsi="Arial" w:cs="Arial"/>
          <w:b/>
        </w:rPr>
        <w:t>k</w:t>
      </w:r>
      <w:r w:rsidRPr="00F14211">
        <w:rPr>
          <w:rFonts w:ascii="Arial" w:hAnsi="Arial" w:cs="Arial"/>
          <w:b/>
        </w:rPr>
        <w:t>ości lub ilości danych</w:t>
      </w:r>
      <w:bookmarkEnd w:id="76"/>
    </w:p>
    <w:p w:rsidR="00D35E78" w:rsidRDefault="002E467F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</w:rPr>
        <w:t>Po pierwsze</w:t>
      </w:r>
      <w:r w:rsidR="00226771">
        <w:rPr>
          <w:rFonts w:ascii="Arial" w:hAnsi="Arial" w:cs="Arial"/>
        </w:rPr>
        <w:t>,</w:t>
      </w:r>
      <w:r w:rsidRPr="002E467F">
        <w:rPr>
          <w:rFonts w:ascii="Arial" w:hAnsi="Arial" w:cs="Arial"/>
        </w:rPr>
        <w:t xml:space="preserve"> określono odpowiednią jednostkę miary, tj. koszt wsparcia na osobę bez uwzględnienia kosztów pośrednich. </w:t>
      </w:r>
    </w:p>
    <w:p w:rsidR="00C63C42" w:rsidRPr="00C63C42" w:rsidRDefault="00C63C42" w:rsidP="00320AA1">
      <w:pPr>
        <w:spacing w:after="120"/>
        <w:jc w:val="both"/>
        <w:rPr>
          <w:rFonts w:ascii="Arial" w:hAnsi="Arial" w:cs="Arial"/>
          <w:b/>
        </w:rPr>
      </w:pPr>
      <w:r w:rsidRPr="00C63C42">
        <w:rPr>
          <w:rFonts w:ascii="Arial" w:hAnsi="Arial" w:cs="Arial"/>
          <w:b/>
        </w:rPr>
        <w:t xml:space="preserve">8.1 Opis sposobu kalkulacji </w:t>
      </w:r>
      <w:r w:rsidR="00540AC5" w:rsidRPr="00C63C42">
        <w:rPr>
          <w:rFonts w:ascii="Arial" w:hAnsi="Arial" w:cs="Arial"/>
          <w:b/>
        </w:rPr>
        <w:t>staw</w:t>
      </w:r>
      <w:r w:rsidR="00540AC5">
        <w:rPr>
          <w:rFonts w:ascii="Arial" w:hAnsi="Arial" w:cs="Arial"/>
          <w:b/>
        </w:rPr>
        <w:t>ki</w:t>
      </w:r>
      <w:r w:rsidRPr="00C63C42">
        <w:rPr>
          <w:rFonts w:ascii="Arial" w:hAnsi="Arial" w:cs="Arial"/>
          <w:b/>
        </w:rPr>
        <w:t xml:space="preserve"> </w:t>
      </w:r>
      <w:r w:rsidR="007E5864">
        <w:rPr>
          <w:rFonts w:ascii="Arial" w:hAnsi="Arial" w:cs="Arial"/>
          <w:b/>
        </w:rPr>
        <w:t xml:space="preserve">jednostkowej aktywizacji zawodowej </w:t>
      </w:r>
      <w:r w:rsidRPr="00C63C42">
        <w:rPr>
          <w:rFonts w:ascii="Arial" w:hAnsi="Arial" w:cs="Arial"/>
          <w:b/>
        </w:rPr>
        <w:t>osób młodych</w:t>
      </w:r>
      <w:r w:rsidR="00236665" w:rsidRPr="00236665">
        <w:rPr>
          <w:rFonts w:ascii="Arial" w:hAnsi="Arial" w:cs="Arial"/>
          <w:b/>
        </w:rPr>
        <w:t xml:space="preserve"> </w:t>
      </w:r>
      <w:r w:rsidR="00236665" w:rsidRPr="00154D84">
        <w:rPr>
          <w:rFonts w:ascii="Arial" w:hAnsi="Arial" w:cs="Arial"/>
          <w:b/>
        </w:rPr>
        <w:t>niepracujących</w:t>
      </w:r>
    </w:p>
    <w:p w:rsidR="002E467F" w:rsidRDefault="00C63C4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E467F" w:rsidRPr="002E467F">
        <w:rPr>
          <w:rFonts w:ascii="Arial" w:hAnsi="Arial" w:cs="Arial"/>
        </w:rPr>
        <w:t xml:space="preserve">orównano średnią arytmetyczną, medianę i średnią arytmetyczną bez 20% wartości skrajnych średnich kosztów wsparcia na osobę w 332 projektach, w których finansowano co najmniej 3 formy wsparcia. 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3020"/>
        <w:gridCol w:w="2156"/>
      </w:tblGrid>
      <w:tr w:rsidR="002E467F" w:rsidRPr="002E467F" w:rsidTr="00882E68">
        <w:trPr>
          <w:jc w:val="center"/>
        </w:trPr>
        <w:tc>
          <w:tcPr>
            <w:tcW w:w="1972" w:type="dxa"/>
            <w:shd w:val="clear" w:color="auto" w:fill="DBE5F1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</w:p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>Wskaźnik</w:t>
            </w:r>
          </w:p>
        </w:tc>
        <w:tc>
          <w:tcPr>
            <w:tcW w:w="3020" w:type="dxa"/>
            <w:shd w:val="clear" w:color="auto" w:fill="DBE5F1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 xml:space="preserve">Koszty bezpośrednie bez kosztów zarządzania z </w:t>
            </w:r>
            <w:r w:rsidR="00B2383A">
              <w:rPr>
                <w:rFonts w:ascii="Arial" w:hAnsi="Arial" w:cs="Arial"/>
                <w:b/>
              </w:rPr>
              <w:t xml:space="preserve">332 </w:t>
            </w:r>
            <w:r w:rsidRPr="002E467F">
              <w:rPr>
                <w:rFonts w:ascii="Arial" w:hAnsi="Arial" w:cs="Arial"/>
                <w:b/>
              </w:rPr>
              <w:t>wniosków o dofinansowanie na osobę</w:t>
            </w:r>
          </w:p>
        </w:tc>
        <w:tc>
          <w:tcPr>
            <w:tcW w:w="2156" w:type="dxa"/>
            <w:shd w:val="clear" w:color="auto" w:fill="DBE5F1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 xml:space="preserve">Koszty całkowite z </w:t>
            </w:r>
            <w:r w:rsidR="00B2383A">
              <w:rPr>
                <w:rFonts w:ascii="Arial" w:hAnsi="Arial" w:cs="Arial"/>
                <w:b/>
              </w:rPr>
              <w:t xml:space="preserve">332 </w:t>
            </w:r>
            <w:r w:rsidRPr="002E467F">
              <w:rPr>
                <w:rFonts w:ascii="Arial" w:hAnsi="Arial" w:cs="Arial"/>
                <w:b/>
              </w:rPr>
              <w:t>wniosków o dofinansowanie na osobę</w:t>
            </w:r>
          </w:p>
        </w:tc>
      </w:tr>
      <w:tr w:rsidR="002E467F" w:rsidRPr="002E467F" w:rsidTr="00882E68">
        <w:trPr>
          <w:jc w:val="center"/>
        </w:trPr>
        <w:tc>
          <w:tcPr>
            <w:tcW w:w="1972" w:type="dxa"/>
            <w:shd w:val="clear" w:color="auto" w:fill="FFFFFF"/>
            <w:vAlign w:val="center"/>
          </w:tcPr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Średnia arytmetyczna</w:t>
            </w:r>
          </w:p>
        </w:tc>
        <w:tc>
          <w:tcPr>
            <w:tcW w:w="3020" w:type="dxa"/>
            <w:shd w:val="clear" w:color="auto" w:fill="FFFFFF"/>
            <w:vAlign w:val="center"/>
          </w:tcPr>
          <w:p w:rsidR="003D1EFB" w:rsidRDefault="003D1EFB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13.718,75 zł</w:t>
            </w: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2156" w:type="dxa"/>
            <w:shd w:val="clear" w:color="auto" w:fill="FFFFFF"/>
            <w:vAlign w:val="center"/>
          </w:tcPr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16.976,29 zł</w:t>
            </w:r>
          </w:p>
        </w:tc>
      </w:tr>
      <w:tr w:rsidR="002E467F" w:rsidRPr="002E467F" w:rsidTr="00882E68">
        <w:trPr>
          <w:jc w:val="center"/>
        </w:trPr>
        <w:tc>
          <w:tcPr>
            <w:tcW w:w="1972" w:type="dxa"/>
            <w:shd w:val="clear" w:color="auto" w:fill="auto"/>
            <w:vAlign w:val="center"/>
          </w:tcPr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Mediana</w:t>
            </w:r>
          </w:p>
        </w:tc>
        <w:tc>
          <w:tcPr>
            <w:tcW w:w="3020" w:type="dxa"/>
            <w:shd w:val="clear" w:color="auto" w:fill="DBE5F1"/>
            <w:vAlign w:val="center"/>
          </w:tcPr>
          <w:p w:rsidR="003D1EFB" w:rsidRDefault="003D1EFB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12.678,38 zł</w:t>
            </w: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15.469,96 zł</w:t>
            </w:r>
          </w:p>
        </w:tc>
      </w:tr>
      <w:tr w:rsidR="002E467F" w:rsidRPr="002E467F" w:rsidTr="00882E68">
        <w:trPr>
          <w:jc w:val="center"/>
        </w:trPr>
        <w:tc>
          <w:tcPr>
            <w:tcW w:w="1972" w:type="dxa"/>
            <w:shd w:val="clear" w:color="auto" w:fill="FFFFFF"/>
            <w:vAlign w:val="center"/>
          </w:tcPr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Średnia arytmetyczna bez 20% wartości skrajnych</w:t>
            </w:r>
          </w:p>
        </w:tc>
        <w:tc>
          <w:tcPr>
            <w:tcW w:w="3020" w:type="dxa"/>
            <w:shd w:val="clear" w:color="auto" w:fill="FFFFFF"/>
            <w:vAlign w:val="center"/>
          </w:tcPr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13.187,73 zł</w:t>
            </w: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2156" w:type="dxa"/>
            <w:shd w:val="clear" w:color="auto" w:fill="FFFFFF"/>
            <w:vAlign w:val="center"/>
          </w:tcPr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16.331,18 zł</w:t>
            </w:r>
          </w:p>
          <w:p w:rsidR="002E467F" w:rsidRPr="002E467F" w:rsidRDefault="002E467F" w:rsidP="00122A7D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</w:tbl>
    <w:p w:rsidR="000E6394" w:rsidRDefault="000E6394" w:rsidP="002E467F">
      <w:pPr>
        <w:spacing w:after="120"/>
        <w:jc w:val="both"/>
        <w:rPr>
          <w:rFonts w:ascii="Arial" w:hAnsi="Arial" w:cs="Arial"/>
        </w:rPr>
      </w:pPr>
    </w:p>
    <w:p w:rsidR="00157A5F" w:rsidRDefault="00B2383A" w:rsidP="002E467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Kolejno, </w:t>
      </w:r>
      <w:r w:rsidR="002E467F" w:rsidRPr="002E467F">
        <w:rPr>
          <w:rFonts w:ascii="Arial" w:hAnsi="Arial" w:cs="Arial"/>
        </w:rPr>
        <w:t>wybrano ten wskaźnik, którego wartość była najniższa, tj. medianę</w:t>
      </w:r>
      <w:r w:rsidR="00820C49">
        <w:rPr>
          <w:rFonts w:ascii="Arial" w:hAnsi="Arial" w:cs="Arial"/>
        </w:rPr>
        <w:t xml:space="preserve"> (</w:t>
      </w:r>
      <w:r w:rsidR="002E467F" w:rsidRPr="002E467F">
        <w:rPr>
          <w:rFonts w:ascii="Arial" w:hAnsi="Arial" w:cs="Arial"/>
        </w:rPr>
        <w:t xml:space="preserve">wartość środkową </w:t>
      </w:r>
      <w:r>
        <w:rPr>
          <w:rFonts w:ascii="Arial" w:hAnsi="Arial" w:cs="Arial"/>
        </w:rPr>
        <w:br/>
      </w:r>
      <w:r w:rsidR="002E467F" w:rsidRPr="002E467F">
        <w:rPr>
          <w:rFonts w:ascii="Arial" w:hAnsi="Arial" w:cs="Arial"/>
        </w:rPr>
        <w:t>w próbie</w:t>
      </w:r>
      <w:r w:rsidR="00820C49">
        <w:rPr>
          <w:rFonts w:ascii="Arial" w:hAnsi="Arial" w:cs="Arial"/>
        </w:rPr>
        <w:t>)</w:t>
      </w:r>
      <w:r w:rsidR="002E467F" w:rsidRPr="002E467F">
        <w:rPr>
          <w:rFonts w:ascii="Arial" w:hAnsi="Arial" w:cs="Arial"/>
        </w:rPr>
        <w:t xml:space="preserve"> wyliczoną na podstawie wniosków o dofinansowanie. </w:t>
      </w:r>
    </w:p>
    <w:p w:rsidR="002E467F" w:rsidRPr="002E467F" w:rsidRDefault="002E467F" w:rsidP="002E467F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</w:rPr>
        <w:t xml:space="preserve">Medianę pomniejszono o wartość średnich oszczędności w kosztach bezpośrednich (bez </w:t>
      </w:r>
      <w:r w:rsidR="00F27AC9">
        <w:rPr>
          <w:rFonts w:ascii="Arial" w:hAnsi="Arial" w:cs="Arial"/>
        </w:rPr>
        <w:t>kosztów zarządzania) wynikających z raportu</w:t>
      </w:r>
      <w:r w:rsidR="00B2383A">
        <w:rPr>
          <w:rFonts w:ascii="Arial" w:hAnsi="Arial" w:cs="Arial"/>
        </w:rPr>
        <w:t>.</w:t>
      </w:r>
      <w:r w:rsidRPr="002E467F"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2827"/>
      </w:tblGrid>
      <w:tr w:rsidR="002E467F" w:rsidRPr="002E467F" w:rsidTr="00F27AC9">
        <w:trPr>
          <w:jc w:val="center"/>
        </w:trPr>
        <w:tc>
          <w:tcPr>
            <w:tcW w:w="1972" w:type="dxa"/>
            <w:shd w:val="clear" w:color="auto" w:fill="DBE5F1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</w:p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>Wskaźnik</w:t>
            </w:r>
          </w:p>
        </w:tc>
        <w:tc>
          <w:tcPr>
            <w:tcW w:w="2827" w:type="dxa"/>
            <w:shd w:val="clear" w:color="auto" w:fill="DBE5F1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  <w:b/>
              </w:rPr>
            </w:pPr>
          </w:p>
          <w:p w:rsidR="002E467F" w:rsidRPr="002E467F" w:rsidRDefault="002E467F" w:rsidP="00236665">
            <w:pPr>
              <w:spacing w:after="120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>Kompleksowe wsparcie na osobę</w:t>
            </w:r>
            <w:r w:rsidR="00F27AC9">
              <w:rPr>
                <w:rFonts w:ascii="Arial" w:hAnsi="Arial" w:cs="Arial"/>
                <w:b/>
              </w:rPr>
              <w:t xml:space="preserve"> </w:t>
            </w:r>
            <w:r w:rsidR="00236665">
              <w:rPr>
                <w:rFonts w:ascii="Arial" w:hAnsi="Arial" w:cs="Arial"/>
                <w:b/>
              </w:rPr>
              <w:t>niepracującą</w:t>
            </w:r>
          </w:p>
        </w:tc>
      </w:tr>
      <w:tr w:rsidR="002E467F" w:rsidRPr="002E467F" w:rsidTr="00F27AC9">
        <w:trPr>
          <w:jc w:val="center"/>
        </w:trPr>
        <w:tc>
          <w:tcPr>
            <w:tcW w:w="1972" w:type="dxa"/>
            <w:shd w:val="clear" w:color="auto" w:fill="FFFFFF"/>
            <w:vAlign w:val="center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Mediana</w:t>
            </w:r>
          </w:p>
        </w:tc>
        <w:tc>
          <w:tcPr>
            <w:tcW w:w="2827" w:type="dxa"/>
            <w:shd w:val="clear" w:color="auto" w:fill="FFFFFF"/>
            <w:vAlign w:val="center"/>
          </w:tcPr>
          <w:p w:rsidR="002E467F" w:rsidRPr="002E467F" w:rsidRDefault="002E467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12.678,38 zł</w:t>
            </w:r>
          </w:p>
        </w:tc>
      </w:tr>
      <w:tr w:rsidR="002E467F" w:rsidRPr="002E467F" w:rsidTr="00F27AC9">
        <w:trPr>
          <w:jc w:val="center"/>
        </w:trPr>
        <w:tc>
          <w:tcPr>
            <w:tcW w:w="1972" w:type="dxa"/>
            <w:shd w:val="clear" w:color="auto" w:fill="FFFFFF"/>
            <w:vAlign w:val="center"/>
          </w:tcPr>
          <w:p w:rsidR="002E467F" w:rsidRPr="002E467F" w:rsidRDefault="002E467F" w:rsidP="003E54E2">
            <w:pPr>
              <w:spacing w:after="120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Mediana pomniejszona o średnie oszczędności</w:t>
            </w:r>
          </w:p>
        </w:tc>
        <w:tc>
          <w:tcPr>
            <w:tcW w:w="2827" w:type="dxa"/>
            <w:shd w:val="clear" w:color="auto" w:fill="FFFFFF"/>
            <w:vAlign w:val="center"/>
          </w:tcPr>
          <w:p w:rsidR="002E467F" w:rsidRPr="002E467F" w:rsidRDefault="002E467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2E467F">
              <w:rPr>
                <w:rFonts w:ascii="Arial" w:hAnsi="Arial" w:cs="Arial"/>
              </w:rPr>
              <w:t>11.552,24 zł</w:t>
            </w:r>
          </w:p>
          <w:p w:rsidR="002E467F" w:rsidRPr="002E467F" w:rsidRDefault="002E467F" w:rsidP="00F27AC9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</w:tbl>
    <w:p w:rsidR="002E467F" w:rsidRPr="002E467F" w:rsidRDefault="002E467F" w:rsidP="002E467F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595E3" wp14:editId="56C41123">
                <wp:simplePos x="0" y="0"/>
                <wp:positionH relativeFrom="column">
                  <wp:posOffset>2662707</wp:posOffset>
                </wp:positionH>
                <wp:positionV relativeFrom="paragraph">
                  <wp:posOffset>89409</wp:posOffset>
                </wp:positionV>
                <wp:extent cx="451485" cy="292608"/>
                <wp:effectExtent l="0" t="0" r="24765" b="31750"/>
                <wp:wrapNone/>
                <wp:docPr id="4" name="Strzałka w dó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" cy="292608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D3FA2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4" o:spid="_x0000_s1026" type="#_x0000_t67" style="position:absolute;margin-left:209.65pt;margin-top:7.05pt;width:35.55pt;height:23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" fillcolor="#4f81bd" stroked="f" strokecolor="#f2f2f2" strokeweight="3pt">
                <v:shadow on="t" color="#243f60" opacity=".5" offset="1pt"/>
                <v:textbox style="layout-flow:vertical-ideographic"/>
              </v:shape>
            </w:pict>
          </mc:Fallback>
        </mc:AlternateContent>
      </w:r>
    </w:p>
    <w:p w:rsidR="002E467F" w:rsidRPr="002E467F" w:rsidRDefault="002E467F" w:rsidP="002E467F">
      <w:pPr>
        <w:spacing w:after="120"/>
        <w:jc w:val="both"/>
        <w:rPr>
          <w:rFonts w:ascii="Arial" w:hAnsi="Arial" w:cs="Arial"/>
        </w:rPr>
      </w:pPr>
    </w:p>
    <w:p w:rsidR="002E467F" w:rsidRDefault="002E467F" w:rsidP="002E467F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</w:rPr>
        <w:t>Tak uzyskaną wartość zaokrąglono w dół do pełnych dziesiątek, uzyskując proponowaną wartość stawki jednostkowej</w:t>
      </w:r>
      <w:r w:rsidR="00B2383A">
        <w:rPr>
          <w:rFonts w:ascii="Arial" w:hAnsi="Arial" w:cs="Arial"/>
        </w:rPr>
        <w:t>.</w:t>
      </w:r>
      <w:r w:rsidRPr="002E467F">
        <w:rPr>
          <w:rFonts w:ascii="Arial" w:hAnsi="Arial" w:cs="Arial"/>
        </w:rPr>
        <w:t xml:space="preserve"> </w:t>
      </w:r>
    </w:p>
    <w:p w:rsidR="00236665" w:rsidRDefault="00236665" w:rsidP="002E467F">
      <w:pPr>
        <w:spacing w:after="120"/>
        <w:jc w:val="both"/>
        <w:rPr>
          <w:rFonts w:ascii="Arial" w:hAnsi="Arial" w:cs="Arial"/>
        </w:rPr>
      </w:pPr>
    </w:p>
    <w:p w:rsidR="00236665" w:rsidRDefault="00236665" w:rsidP="002E467F">
      <w:pPr>
        <w:spacing w:after="120"/>
        <w:jc w:val="both"/>
        <w:rPr>
          <w:rFonts w:ascii="Arial" w:hAnsi="Arial" w:cs="Arial"/>
        </w:rPr>
      </w:pPr>
    </w:p>
    <w:p w:rsidR="00236665" w:rsidRDefault="00236665" w:rsidP="002E467F">
      <w:pPr>
        <w:spacing w:after="1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2767"/>
      </w:tblGrid>
      <w:tr w:rsidR="002E467F" w:rsidRPr="002E467F" w:rsidTr="00F27AC9">
        <w:trPr>
          <w:jc w:val="center"/>
        </w:trPr>
        <w:tc>
          <w:tcPr>
            <w:tcW w:w="1972" w:type="dxa"/>
            <w:shd w:val="clear" w:color="auto" w:fill="DBE5F1"/>
          </w:tcPr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>Wskaźnik</w:t>
            </w:r>
          </w:p>
        </w:tc>
        <w:tc>
          <w:tcPr>
            <w:tcW w:w="2767" w:type="dxa"/>
            <w:shd w:val="clear" w:color="auto" w:fill="DBE5F1"/>
          </w:tcPr>
          <w:p w:rsidR="002E467F" w:rsidRPr="002E467F" w:rsidRDefault="002E467F" w:rsidP="002E467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2E467F" w:rsidRPr="002E467F" w:rsidRDefault="002E467F" w:rsidP="00236665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t>Kompleksowe wsparcie na osobę</w:t>
            </w:r>
            <w:r w:rsidR="00F27AC9">
              <w:rPr>
                <w:rFonts w:ascii="Arial" w:hAnsi="Arial" w:cs="Arial"/>
                <w:b/>
              </w:rPr>
              <w:t xml:space="preserve"> </w:t>
            </w:r>
            <w:r w:rsidR="00236665">
              <w:rPr>
                <w:rFonts w:ascii="Arial" w:hAnsi="Arial" w:cs="Arial"/>
                <w:b/>
              </w:rPr>
              <w:t>niepracującą</w:t>
            </w:r>
          </w:p>
        </w:tc>
      </w:tr>
      <w:tr w:rsidR="002E467F" w:rsidRPr="002E467F" w:rsidTr="00F27AC9">
        <w:trPr>
          <w:jc w:val="center"/>
        </w:trPr>
        <w:tc>
          <w:tcPr>
            <w:tcW w:w="1972" w:type="dxa"/>
            <w:shd w:val="clear" w:color="auto" w:fill="FFFFFF"/>
            <w:vAlign w:val="center"/>
          </w:tcPr>
          <w:p w:rsidR="002E467F" w:rsidRPr="00F27AC9" w:rsidRDefault="002E467F" w:rsidP="002E467F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F27AC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2767" w:type="dxa"/>
            <w:shd w:val="clear" w:color="auto" w:fill="FFFFFF"/>
            <w:vAlign w:val="center"/>
          </w:tcPr>
          <w:p w:rsidR="002E467F" w:rsidRPr="00F27AC9" w:rsidRDefault="002E467F" w:rsidP="00F27AC9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F27AC9">
              <w:rPr>
                <w:rFonts w:ascii="Arial" w:hAnsi="Arial" w:cs="Arial"/>
                <w:b/>
              </w:rPr>
              <w:t xml:space="preserve">11.550,00 zł </w:t>
            </w:r>
          </w:p>
        </w:tc>
      </w:tr>
    </w:tbl>
    <w:p w:rsidR="00B2383A" w:rsidRDefault="00B2383A" w:rsidP="002E467F">
      <w:pPr>
        <w:spacing w:after="120"/>
        <w:jc w:val="both"/>
        <w:rPr>
          <w:rFonts w:ascii="Arial" w:hAnsi="Arial" w:cs="Arial"/>
        </w:rPr>
      </w:pPr>
    </w:p>
    <w:p w:rsidR="00AA6D4D" w:rsidRDefault="00AA6D4D" w:rsidP="002E467F">
      <w:pPr>
        <w:spacing w:after="120"/>
        <w:jc w:val="both"/>
        <w:rPr>
          <w:rFonts w:ascii="Arial" w:hAnsi="Arial" w:cs="Arial"/>
        </w:rPr>
      </w:pPr>
    </w:p>
    <w:p w:rsidR="00C63C42" w:rsidRDefault="00C63C42" w:rsidP="00C63C42">
      <w:pPr>
        <w:spacing w:after="120"/>
        <w:rPr>
          <w:rFonts w:ascii="Arial" w:hAnsi="Arial" w:cs="Arial"/>
          <w:b/>
        </w:rPr>
      </w:pPr>
      <w:r w:rsidRPr="00244E53">
        <w:rPr>
          <w:rFonts w:ascii="Arial" w:hAnsi="Arial" w:cs="Arial"/>
          <w:b/>
        </w:rPr>
        <w:t>8.</w:t>
      </w:r>
      <w:r>
        <w:rPr>
          <w:rFonts w:ascii="Arial" w:hAnsi="Arial" w:cs="Arial"/>
          <w:b/>
        </w:rPr>
        <w:t>2</w:t>
      </w:r>
      <w:r w:rsidRPr="00244E53">
        <w:rPr>
          <w:rFonts w:ascii="Arial" w:hAnsi="Arial" w:cs="Arial"/>
          <w:b/>
        </w:rPr>
        <w:t xml:space="preserve"> Opis sposobu kalkulacji stawki </w:t>
      </w:r>
      <w:r w:rsidR="007E5864">
        <w:rPr>
          <w:rFonts w:ascii="Arial" w:hAnsi="Arial" w:cs="Arial"/>
          <w:b/>
        </w:rPr>
        <w:t xml:space="preserve">jednostkowej wsparcia </w:t>
      </w:r>
      <w:r w:rsidRPr="00244E53">
        <w:rPr>
          <w:rFonts w:ascii="Arial" w:hAnsi="Arial" w:cs="Arial"/>
          <w:b/>
        </w:rPr>
        <w:t>osób młodych pracujących</w:t>
      </w:r>
    </w:p>
    <w:p w:rsidR="00C63C42" w:rsidRDefault="00C63C42" w:rsidP="00C63C4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E467F">
        <w:rPr>
          <w:rFonts w:ascii="Arial" w:hAnsi="Arial" w:cs="Arial"/>
        </w:rPr>
        <w:t xml:space="preserve">orównano średnią arytmetyczną, medianę i średnią arytmetyczną bez 20% wartości skrajnych </w:t>
      </w:r>
      <w:r>
        <w:rPr>
          <w:rFonts w:ascii="Arial" w:hAnsi="Arial" w:cs="Arial"/>
        </w:rPr>
        <w:br/>
        <w:t xml:space="preserve">sumy </w:t>
      </w:r>
      <w:r w:rsidRPr="002E467F">
        <w:rPr>
          <w:rFonts w:ascii="Arial" w:hAnsi="Arial" w:cs="Arial"/>
        </w:rPr>
        <w:t>koszt</w:t>
      </w:r>
      <w:r>
        <w:rPr>
          <w:rFonts w:ascii="Arial" w:hAnsi="Arial" w:cs="Arial"/>
        </w:rPr>
        <w:t xml:space="preserve">ów szkolenia, poradnictwa zawodowego i pośrednictwa pracy </w:t>
      </w:r>
      <w:r w:rsidRPr="002E467F">
        <w:rPr>
          <w:rFonts w:ascii="Arial" w:hAnsi="Arial" w:cs="Arial"/>
        </w:rPr>
        <w:t xml:space="preserve">na osobę w 332 projektach, w których finansowano co najmniej 3 formy wsparcia. 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865"/>
        <w:gridCol w:w="1843"/>
        <w:gridCol w:w="1728"/>
        <w:gridCol w:w="2207"/>
      </w:tblGrid>
      <w:tr w:rsidR="00182C44" w:rsidRPr="002E467F" w:rsidTr="00AC6A5D">
        <w:trPr>
          <w:jc w:val="center"/>
        </w:trPr>
        <w:tc>
          <w:tcPr>
            <w:tcW w:w="1645" w:type="dxa"/>
            <w:shd w:val="clear" w:color="auto" w:fill="DBE5F1"/>
            <w:vAlign w:val="center"/>
          </w:tcPr>
          <w:p w:rsidR="00182C44" w:rsidRPr="00AC6A5D" w:rsidRDefault="00182C44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2C44" w:rsidRPr="00AC6A5D" w:rsidRDefault="00182C44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A5D">
              <w:rPr>
                <w:rFonts w:ascii="Arial" w:hAnsi="Arial" w:cs="Arial"/>
                <w:b/>
                <w:sz w:val="18"/>
                <w:szCs w:val="18"/>
              </w:rPr>
              <w:t>Wskaźnik</w:t>
            </w:r>
          </w:p>
        </w:tc>
        <w:tc>
          <w:tcPr>
            <w:tcW w:w="1865" w:type="dxa"/>
            <w:shd w:val="clear" w:color="auto" w:fill="DBE5F1"/>
            <w:vAlign w:val="center"/>
          </w:tcPr>
          <w:p w:rsidR="00182C44" w:rsidRPr="00AC6A5D" w:rsidRDefault="00182C44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A5D">
              <w:rPr>
                <w:rFonts w:ascii="Arial" w:hAnsi="Arial" w:cs="Arial"/>
                <w:b/>
                <w:sz w:val="18"/>
                <w:szCs w:val="18"/>
              </w:rPr>
              <w:t>Koszt szkolenia - bez kosztów zarządzania z 332 wniosków o dofinansowanie na osobę</w:t>
            </w:r>
          </w:p>
        </w:tc>
        <w:tc>
          <w:tcPr>
            <w:tcW w:w="1843" w:type="dxa"/>
            <w:shd w:val="clear" w:color="auto" w:fill="DBE5F1"/>
            <w:vAlign w:val="center"/>
          </w:tcPr>
          <w:p w:rsidR="00182C44" w:rsidRPr="00AC6A5D" w:rsidRDefault="00182C44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A5D">
              <w:rPr>
                <w:rFonts w:ascii="Arial" w:hAnsi="Arial" w:cs="Arial"/>
                <w:b/>
                <w:sz w:val="18"/>
                <w:szCs w:val="18"/>
              </w:rPr>
              <w:t xml:space="preserve">Koszt poradnictwa zawodowego </w:t>
            </w:r>
            <w:r w:rsidRPr="00AC6A5D">
              <w:rPr>
                <w:rFonts w:ascii="Arial" w:hAnsi="Arial" w:cs="Arial"/>
                <w:b/>
                <w:sz w:val="18"/>
                <w:szCs w:val="18"/>
              </w:rPr>
              <w:br/>
              <w:t>- bez kosztów zarządzania z 332 wniosków o dofinansowanie na osobę</w:t>
            </w:r>
          </w:p>
        </w:tc>
        <w:tc>
          <w:tcPr>
            <w:tcW w:w="1728" w:type="dxa"/>
            <w:shd w:val="clear" w:color="auto" w:fill="DBE5F1"/>
            <w:vAlign w:val="center"/>
          </w:tcPr>
          <w:p w:rsidR="00182C44" w:rsidRPr="00AC6A5D" w:rsidRDefault="00085C5D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A5D">
              <w:rPr>
                <w:rFonts w:ascii="Arial" w:hAnsi="Arial" w:cs="Arial"/>
                <w:b/>
                <w:sz w:val="18"/>
                <w:szCs w:val="18"/>
              </w:rPr>
              <w:t>Koszt pośrednictwa pracy - bez kosztów zarządzania z 332 wniosków o dofinansowanie na osobę</w:t>
            </w:r>
          </w:p>
        </w:tc>
        <w:tc>
          <w:tcPr>
            <w:tcW w:w="2207" w:type="dxa"/>
            <w:shd w:val="clear" w:color="auto" w:fill="DBE5F1"/>
            <w:vAlign w:val="center"/>
          </w:tcPr>
          <w:p w:rsidR="00182C44" w:rsidRPr="00AC6A5D" w:rsidRDefault="00182C44" w:rsidP="00AC6A5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A5D">
              <w:rPr>
                <w:rFonts w:ascii="Arial" w:hAnsi="Arial" w:cs="Arial"/>
                <w:b/>
                <w:sz w:val="18"/>
                <w:szCs w:val="18"/>
              </w:rPr>
              <w:t xml:space="preserve">Suma kosztów szkolenia, poradnictwa zawodowego </w:t>
            </w:r>
            <w:r w:rsidRPr="00AC6A5D">
              <w:rPr>
                <w:rFonts w:ascii="Arial" w:hAnsi="Arial" w:cs="Arial"/>
                <w:b/>
                <w:sz w:val="18"/>
                <w:szCs w:val="18"/>
              </w:rPr>
              <w:br/>
              <w:t>i pośrednictwa pracy - bez kosztów zarządzania z 332 wniosków o dofinansowanie na osobę</w:t>
            </w:r>
          </w:p>
        </w:tc>
      </w:tr>
      <w:tr w:rsidR="00773549" w:rsidRPr="002E467F" w:rsidTr="00AC6A5D">
        <w:trPr>
          <w:jc w:val="center"/>
        </w:trPr>
        <w:tc>
          <w:tcPr>
            <w:tcW w:w="1645" w:type="dxa"/>
            <w:shd w:val="clear" w:color="auto" w:fill="auto"/>
            <w:vAlign w:val="center"/>
          </w:tcPr>
          <w:p w:rsidR="00773549" w:rsidRPr="00F97F76" w:rsidRDefault="00773549" w:rsidP="00AC6A5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F76">
              <w:rPr>
                <w:rFonts w:ascii="Arial" w:hAnsi="Arial" w:cs="Arial"/>
                <w:sz w:val="18"/>
                <w:szCs w:val="18"/>
              </w:rPr>
              <w:t>Średnia arytmetyczna</w:t>
            </w:r>
          </w:p>
        </w:tc>
        <w:tc>
          <w:tcPr>
            <w:tcW w:w="186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4.743,05 zł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1.048,29 zł</w:t>
            </w:r>
          </w:p>
        </w:tc>
        <w:tc>
          <w:tcPr>
            <w:tcW w:w="172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465,43 zł</w:t>
            </w:r>
          </w:p>
        </w:tc>
        <w:tc>
          <w:tcPr>
            <w:tcW w:w="220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F31E46">
              <w:rPr>
                <w:rFonts w:ascii="Arial" w:hAnsi="Arial" w:cs="Arial"/>
              </w:rPr>
              <w:t>6 256,77</w:t>
            </w:r>
            <w:r w:rsidR="00F31E46" w:rsidRPr="00F31E46">
              <w:rPr>
                <w:rFonts w:ascii="Arial" w:hAnsi="Arial" w:cs="Arial"/>
              </w:rPr>
              <w:t xml:space="preserve"> zł</w:t>
            </w:r>
          </w:p>
        </w:tc>
      </w:tr>
      <w:tr w:rsidR="00773549" w:rsidRPr="002E467F" w:rsidTr="00AC6A5D">
        <w:trPr>
          <w:jc w:val="center"/>
        </w:trPr>
        <w:tc>
          <w:tcPr>
            <w:tcW w:w="1645" w:type="dxa"/>
            <w:shd w:val="clear" w:color="auto" w:fill="auto"/>
            <w:vAlign w:val="center"/>
          </w:tcPr>
          <w:p w:rsidR="00773549" w:rsidRPr="00F97F76" w:rsidRDefault="00773549" w:rsidP="00AC6A5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F76">
              <w:rPr>
                <w:rFonts w:ascii="Arial" w:hAnsi="Arial" w:cs="Arial"/>
                <w:sz w:val="18"/>
                <w:szCs w:val="18"/>
              </w:rPr>
              <w:t>Mediana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4.134,76 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699,75 zł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402,50 zł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773549" w:rsidRPr="00F31E46" w:rsidRDefault="00F31E46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F31E46">
              <w:rPr>
                <w:rFonts w:ascii="Arial" w:hAnsi="Arial" w:cs="Arial"/>
              </w:rPr>
              <w:t>5 237,01 zł</w:t>
            </w:r>
          </w:p>
        </w:tc>
      </w:tr>
      <w:tr w:rsidR="00773549" w:rsidRPr="002E467F" w:rsidTr="00AC6A5D">
        <w:trPr>
          <w:jc w:val="center"/>
        </w:trPr>
        <w:tc>
          <w:tcPr>
            <w:tcW w:w="1645" w:type="dxa"/>
            <w:shd w:val="clear" w:color="auto" w:fill="auto"/>
            <w:vAlign w:val="center"/>
          </w:tcPr>
          <w:p w:rsidR="00773549" w:rsidRPr="00F97F76" w:rsidRDefault="00773549" w:rsidP="00AC6A5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F76">
              <w:rPr>
                <w:rFonts w:ascii="Arial" w:hAnsi="Arial" w:cs="Arial"/>
                <w:sz w:val="18"/>
                <w:szCs w:val="18"/>
              </w:rPr>
              <w:t>Średnia arytmetyczna bez 20% wartości skrajnych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4.399,96 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847,95 zł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773549" w:rsidRPr="00F31E46" w:rsidRDefault="00773549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AC6A5D">
              <w:rPr>
                <w:rFonts w:ascii="Arial" w:hAnsi="Arial" w:cs="Arial"/>
              </w:rPr>
              <w:t>416,48 zł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773549" w:rsidRPr="00F31E46" w:rsidRDefault="00F31E46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F31E46">
              <w:rPr>
                <w:rFonts w:ascii="Arial" w:hAnsi="Arial" w:cs="Arial"/>
              </w:rPr>
              <w:t>5 664,39 zł</w:t>
            </w:r>
          </w:p>
        </w:tc>
      </w:tr>
    </w:tbl>
    <w:p w:rsidR="00C63C42" w:rsidRDefault="00C63C42" w:rsidP="00C63C42">
      <w:pPr>
        <w:spacing w:after="120"/>
        <w:jc w:val="both"/>
        <w:rPr>
          <w:rFonts w:ascii="Arial" w:hAnsi="Arial" w:cs="Arial"/>
        </w:rPr>
      </w:pPr>
    </w:p>
    <w:p w:rsidR="00BD5D3F" w:rsidRDefault="00C63C42" w:rsidP="00BD5D3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Kolejno, </w:t>
      </w:r>
      <w:r w:rsidRPr="002E467F">
        <w:rPr>
          <w:rFonts w:ascii="Arial" w:hAnsi="Arial" w:cs="Arial"/>
        </w:rPr>
        <w:t>wybrano ten wskaźnik, którego wartość była najniższa, tj. medianę</w:t>
      </w:r>
      <w:r w:rsidR="00820C49">
        <w:rPr>
          <w:rFonts w:ascii="Arial" w:hAnsi="Arial" w:cs="Arial"/>
        </w:rPr>
        <w:t xml:space="preserve"> (</w:t>
      </w:r>
      <w:r w:rsidRPr="002E467F">
        <w:rPr>
          <w:rFonts w:ascii="Arial" w:hAnsi="Arial" w:cs="Arial"/>
        </w:rPr>
        <w:t xml:space="preserve">wartość środkową </w:t>
      </w:r>
      <w:r>
        <w:rPr>
          <w:rFonts w:ascii="Arial" w:hAnsi="Arial" w:cs="Arial"/>
        </w:rPr>
        <w:br/>
      </w:r>
      <w:r w:rsidRPr="002E467F">
        <w:rPr>
          <w:rFonts w:ascii="Arial" w:hAnsi="Arial" w:cs="Arial"/>
        </w:rPr>
        <w:t>w próbie</w:t>
      </w:r>
      <w:r w:rsidR="00820C49">
        <w:rPr>
          <w:rFonts w:ascii="Arial" w:hAnsi="Arial" w:cs="Arial"/>
        </w:rPr>
        <w:t>)</w:t>
      </w:r>
      <w:r w:rsidRPr="002E467F">
        <w:rPr>
          <w:rFonts w:ascii="Arial" w:hAnsi="Arial" w:cs="Arial"/>
        </w:rPr>
        <w:t xml:space="preserve"> wyliczoną na podstawie wniosków o dofinansowanie.</w:t>
      </w:r>
      <w:r w:rsidR="0061657D">
        <w:rPr>
          <w:rFonts w:ascii="Arial" w:hAnsi="Arial" w:cs="Arial"/>
        </w:rPr>
        <w:t xml:space="preserve"> </w:t>
      </w:r>
    </w:p>
    <w:p w:rsidR="00BD5D3F" w:rsidRPr="002E467F" w:rsidRDefault="00BD5D3F" w:rsidP="00BD5D3F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</w:rPr>
        <w:t>Medianę pomniejszono o wartość średnich oszczędności w kosztach bezpośrednich (bez kosztów zarządzania</w:t>
      </w:r>
      <w:r w:rsidR="00F27AC9">
        <w:rPr>
          <w:rFonts w:ascii="Arial" w:hAnsi="Arial" w:cs="Arial"/>
        </w:rPr>
        <w:t>) wynikających z raportu:</w:t>
      </w:r>
      <w:r w:rsidRPr="002E467F">
        <w:rPr>
          <w:rFonts w:ascii="Arial" w:hAnsi="Arial" w:cs="Arial"/>
        </w:rPr>
        <w:t xml:space="preserve"> </w:t>
      </w:r>
    </w:p>
    <w:tbl>
      <w:tblPr>
        <w:tblW w:w="928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701"/>
        <w:gridCol w:w="2234"/>
      </w:tblGrid>
      <w:tr w:rsidR="007718BF" w:rsidRPr="007718BF" w:rsidTr="00C42C58">
        <w:trPr>
          <w:jc w:val="center"/>
        </w:trPr>
        <w:tc>
          <w:tcPr>
            <w:tcW w:w="1668" w:type="dxa"/>
            <w:shd w:val="clear" w:color="auto" w:fill="DBE5F1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C42C58">
              <w:rPr>
                <w:rFonts w:ascii="Arial" w:hAnsi="Arial" w:cs="Arial"/>
                <w:b/>
              </w:rPr>
              <w:t>Wskaźnik</w:t>
            </w:r>
          </w:p>
        </w:tc>
        <w:tc>
          <w:tcPr>
            <w:tcW w:w="1842" w:type="dxa"/>
            <w:shd w:val="clear" w:color="auto" w:fill="DBE5F1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7718BF" w:rsidRPr="00C42C58" w:rsidRDefault="007718BF" w:rsidP="00F15C5A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320AA1">
              <w:rPr>
                <w:rFonts w:ascii="Arial" w:hAnsi="Arial" w:cs="Arial"/>
                <w:b/>
              </w:rPr>
              <w:t>Koszt s</w:t>
            </w:r>
            <w:r w:rsidRPr="00C42C58">
              <w:rPr>
                <w:rFonts w:ascii="Arial" w:hAnsi="Arial" w:cs="Arial"/>
                <w:b/>
              </w:rPr>
              <w:t>zkoleni</w:t>
            </w:r>
            <w:r w:rsidRPr="00320AA1">
              <w:rPr>
                <w:rFonts w:ascii="Arial" w:hAnsi="Arial" w:cs="Arial"/>
                <w:b/>
              </w:rPr>
              <w:t>a</w:t>
            </w:r>
            <w:r w:rsidRPr="00C42C58">
              <w:rPr>
                <w:rFonts w:ascii="Arial" w:hAnsi="Arial" w:cs="Arial"/>
                <w:b/>
              </w:rPr>
              <w:t xml:space="preserve"> na osobę</w:t>
            </w:r>
          </w:p>
        </w:tc>
        <w:tc>
          <w:tcPr>
            <w:tcW w:w="1843" w:type="dxa"/>
            <w:shd w:val="clear" w:color="auto" w:fill="DBE5F1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7718BF" w:rsidRPr="00C42C58" w:rsidRDefault="007718BF" w:rsidP="00F15C5A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320AA1">
              <w:rPr>
                <w:rFonts w:ascii="Arial" w:hAnsi="Arial" w:cs="Arial"/>
                <w:b/>
              </w:rPr>
              <w:t>Koszt p</w:t>
            </w:r>
            <w:r w:rsidRPr="00C42C58">
              <w:rPr>
                <w:rFonts w:ascii="Arial" w:hAnsi="Arial" w:cs="Arial"/>
                <w:b/>
              </w:rPr>
              <w:t>oradnictw</w:t>
            </w:r>
            <w:r w:rsidRPr="00320AA1">
              <w:rPr>
                <w:rFonts w:ascii="Arial" w:hAnsi="Arial" w:cs="Arial"/>
                <w:b/>
              </w:rPr>
              <w:t>a</w:t>
            </w:r>
            <w:r w:rsidRPr="00C42C58">
              <w:rPr>
                <w:rFonts w:ascii="Arial" w:hAnsi="Arial" w:cs="Arial"/>
                <w:b/>
              </w:rPr>
              <w:t xml:space="preserve"> na osobę</w:t>
            </w:r>
          </w:p>
        </w:tc>
        <w:tc>
          <w:tcPr>
            <w:tcW w:w="1701" w:type="dxa"/>
            <w:shd w:val="clear" w:color="auto" w:fill="DBE5F1"/>
          </w:tcPr>
          <w:p w:rsidR="007718BF" w:rsidRPr="00320AA1" w:rsidRDefault="007718BF" w:rsidP="00320AA1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7718BF" w:rsidRPr="00320AA1" w:rsidRDefault="007718BF" w:rsidP="00F15C5A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1D2559">
              <w:rPr>
                <w:rFonts w:ascii="Arial" w:hAnsi="Arial" w:cs="Arial"/>
                <w:b/>
              </w:rPr>
              <w:t>Koszt pośrednictw</w:t>
            </w:r>
            <w:r w:rsidRPr="00320AA1">
              <w:rPr>
                <w:rFonts w:ascii="Arial" w:hAnsi="Arial" w:cs="Arial"/>
                <w:b/>
              </w:rPr>
              <w:t>a na osobę</w:t>
            </w:r>
          </w:p>
        </w:tc>
        <w:tc>
          <w:tcPr>
            <w:tcW w:w="2234" w:type="dxa"/>
            <w:shd w:val="clear" w:color="auto" w:fill="DBE5F1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C42C58">
              <w:rPr>
                <w:rFonts w:ascii="Arial" w:hAnsi="Arial" w:cs="Arial"/>
                <w:b/>
              </w:rPr>
              <w:t xml:space="preserve">Suma kosztów szkolenia, poradnictwa zawodowego </w:t>
            </w:r>
            <w:r w:rsidRPr="00C42C58">
              <w:rPr>
                <w:rFonts w:ascii="Arial" w:hAnsi="Arial" w:cs="Arial"/>
                <w:b/>
              </w:rPr>
              <w:br/>
              <w:t>i pośrednictwa pracy na osobę</w:t>
            </w:r>
          </w:p>
        </w:tc>
      </w:tr>
      <w:tr w:rsidR="007718BF" w:rsidRPr="007718BF" w:rsidTr="00C42C58">
        <w:trPr>
          <w:jc w:val="center"/>
        </w:trPr>
        <w:tc>
          <w:tcPr>
            <w:tcW w:w="1668" w:type="dxa"/>
            <w:shd w:val="clear" w:color="auto" w:fill="FFFFFF"/>
            <w:vAlign w:val="center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>Mediana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 xml:space="preserve"> 4.134,76 zł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>699,75 zł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718BF" w:rsidRPr="00F15C5A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2B7D73">
              <w:rPr>
                <w:rFonts w:ascii="Arial" w:hAnsi="Arial" w:cs="Arial"/>
              </w:rPr>
              <w:t>402,50 zł</w:t>
            </w:r>
          </w:p>
        </w:tc>
        <w:tc>
          <w:tcPr>
            <w:tcW w:w="2234" w:type="dxa"/>
            <w:shd w:val="clear" w:color="auto" w:fill="FFFFFF"/>
            <w:vAlign w:val="center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5 237,01</w:t>
            </w:r>
            <w:r w:rsidR="00F27AC9">
              <w:rPr>
                <w:rFonts w:ascii="Arial" w:hAnsi="Arial" w:cs="Arial"/>
              </w:rPr>
              <w:t xml:space="preserve"> </w:t>
            </w:r>
            <w:r w:rsidRPr="00C42C58">
              <w:rPr>
                <w:rFonts w:ascii="Arial" w:hAnsi="Arial" w:cs="Arial"/>
              </w:rPr>
              <w:t>zł</w:t>
            </w:r>
          </w:p>
        </w:tc>
      </w:tr>
      <w:tr w:rsidR="007718BF" w:rsidRPr="007718BF" w:rsidTr="001A70EC">
        <w:trPr>
          <w:trHeight w:val="1234"/>
          <w:jc w:val="center"/>
        </w:trPr>
        <w:tc>
          <w:tcPr>
            <w:tcW w:w="1668" w:type="dxa"/>
            <w:shd w:val="clear" w:color="auto" w:fill="FFFFFF"/>
            <w:vAlign w:val="center"/>
          </w:tcPr>
          <w:p w:rsidR="007718BF" w:rsidRPr="00C42C58" w:rsidRDefault="007718BF" w:rsidP="007718BF">
            <w:pPr>
              <w:spacing w:after="120"/>
              <w:jc w:val="both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>Mediana pomniejszona o średnie oszczędności</w:t>
            </w:r>
          </w:p>
        </w:tc>
        <w:tc>
          <w:tcPr>
            <w:tcW w:w="1842" w:type="dxa"/>
            <w:shd w:val="clear" w:color="auto" w:fill="FFFFFF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>3.774,59 zł</w:t>
            </w:r>
          </w:p>
        </w:tc>
        <w:tc>
          <w:tcPr>
            <w:tcW w:w="1843" w:type="dxa"/>
            <w:shd w:val="clear" w:color="auto" w:fill="FFFFFF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C42C58">
              <w:rPr>
                <w:rFonts w:ascii="Arial" w:hAnsi="Arial" w:cs="Arial"/>
              </w:rPr>
              <w:t>638,79 zł</w:t>
            </w:r>
          </w:p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</w:tcPr>
          <w:p w:rsidR="007718BF" w:rsidRPr="00F15C5A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 w:rsidRPr="002B7D73">
              <w:rPr>
                <w:rFonts w:ascii="Arial" w:hAnsi="Arial" w:cs="Arial"/>
              </w:rPr>
              <w:t>367,44 zł</w:t>
            </w:r>
          </w:p>
        </w:tc>
        <w:tc>
          <w:tcPr>
            <w:tcW w:w="2234" w:type="dxa"/>
            <w:shd w:val="clear" w:color="auto" w:fill="FFFFFF"/>
          </w:tcPr>
          <w:p w:rsidR="007718BF" w:rsidRPr="00C42C58" w:rsidRDefault="007718BF" w:rsidP="00F27AC9">
            <w:pPr>
              <w:spacing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4 780,82</w:t>
            </w:r>
            <w:r w:rsidRPr="00C42C58">
              <w:rPr>
                <w:rFonts w:ascii="Arial" w:hAnsi="Arial" w:cs="Arial"/>
              </w:rPr>
              <w:t xml:space="preserve"> zł</w:t>
            </w:r>
          </w:p>
        </w:tc>
      </w:tr>
    </w:tbl>
    <w:p w:rsidR="00C63C42" w:rsidRPr="002E467F" w:rsidRDefault="00C63C42" w:rsidP="00C63C42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D2463B" wp14:editId="2FDD0918">
                <wp:simplePos x="0" y="0"/>
                <wp:positionH relativeFrom="column">
                  <wp:posOffset>2662707</wp:posOffset>
                </wp:positionH>
                <wp:positionV relativeFrom="paragraph">
                  <wp:posOffset>89409</wp:posOffset>
                </wp:positionV>
                <wp:extent cx="451485" cy="292608"/>
                <wp:effectExtent l="0" t="0" r="24765" b="31750"/>
                <wp:wrapNone/>
                <wp:docPr id="1" name="Strzałka w dół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" cy="292608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88A634" id="Strzałka w dół 1" o:spid="_x0000_s1026" type="#_x0000_t67" style="position:absolute;margin-left:209.65pt;margin-top:7.05pt;width:35.55pt;height:23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" fillcolor="#4f81bd" stroked="f" strokecolor="#f2f2f2" strokeweight="3pt">
                <v:shadow on="t" color="#243f60" opacity=".5" offset="1pt"/>
                <v:textbox style="layout-flow:vertical-ideographic"/>
              </v:shape>
            </w:pict>
          </mc:Fallback>
        </mc:AlternateContent>
      </w:r>
    </w:p>
    <w:p w:rsidR="00DF0FE6" w:rsidRDefault="00DF0FE6" w:rsidP="00C63C42">
      <w:pPr>
        <w:spacing w:after="120"/>
        <w:jc w:val="both"/>
        <w:rPr>
          <w:rFonts w:ascii="Arial" w:hAnsi="Arial" w:cs="Arial"/>
        </w:rPr>
      </w:pPr>
    </w:p>
    <w:p w:rsidR="00C63C42" w:rsidRDefault="00C63C42" w:rsidP="00C63C42">
      <w:pPr>
        <w:spacing w:after="120"/>
        <w:jc w:val="both"/>
        <w:rPr>
          <w:rFonts w:ascii="Arial" w:hAnsi="Arial" w:cs="Arial"/>
        </w:rPr>
      </w:pPr>
      <w:r w:rsidRPr="002E467F">
        <w:rPr>
          <w:rFonts w:ascii="Arial" w:hAnsi="Arial" w:cs="Arial"/>
        </w:rPr>
        <w:t>Tak uzyskaną wartość zaokrąglono w dół do pełnych dziesiątek, uzyskując proponowaną wartość stawki jednostkowej</w:t>
      </w:r>
      <w:r>
        <w:rPr>
          <w:rFonts w:ascii="Arial" w:hAnsi="Arial" w:cs="Arial"/>
        </w:rPr>
        <w:t>.</w:t>
      </w:r>
      <w:r w:rsidRPr="002E467F">
        <w:rPr>
          <w:rFonts w:ascii="Arial" w:hAnsi="Arial" w:cs="Arial"/>
        </w:rPr>
        <w:t xml:space="preserve"> </w:t>
      </w:r>
    </w:p>
    <w:p w:rsidR="00236665" w:rsidRDefault="00236665" w:rsidP="00C63C42">
      <w:pPr>
        <w:spacing w:after="1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3170"/>
      </w:tblGrid>
      <w:tr w:rsidR="00C63C42" w:rsidRPr="002E467F" w:rsidTr="00F97F76">
        <w:trPr>
          <w:jc w:val="center"/>
        </w:trPr>
        <w:tc>
          <w:tcPr>
            <w:tcW w:w="2985" w:type="dxa"/>
            <w:shd w:val="clear" w:color="auto" w:fill="DBE5F1"/>
          </w:tcPr>
          <w:p w:rsidR="00C63C42" w:rsidRPr="002E467F" w:rsidRDefault="00C63C42" w:rsidP="00540AC5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2E467F">
              <w:rPr>
                <w:rFonts w:ascii="Arial" w:hAnsi="Arial" w:cs="Arial"/>
                <w:b/>
              </w:rPr>
              <w:lastRenderedPageBreak/>
              <w:t>Wskaźnik</w:t>
            </w:r>
          </w:p>
        </w:tc>
        <w:tc>
          <w:tcPr>
            <w:tcW w:w="3170" w:type="dxa"/>
            <w:shd w:val="clear" w:color="auto" w:fill="DBE5F1"/>
          </w:tcPr>
          <w:p w:rsidR="00C63C42" w:rsidRPr="002E467F" w:rsidRDefault="00F31E46" w:rsidP="00540AC5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244E53">
              <w:rPr>
                <w:rFonts w:ascii="Arial" w:hAnsi="Arial" w:cs="Arial"/>
                <w:b/>
              </w:rPr>
              <w:t xml:space="preserve">Suma kosztów szkolenia, poradnictwa zawodowego </w:t>
            </w:r>
            <w:r w:rsidRPr="00244E53">
              <w:rPr>
                <w:rFonts w:ascii="Arial" w:hAnsi="Arial" w:cs="Arial"/>
                <w:b/>
              </w:rPr>
              <w:br/>
              <w:t>i pośrednictwa pracy - bez kosztów zarządzania z 332 wniosków o dofinansowanie na osobę</w:t>
            </w:r>
          </w:p>
        </w:tc>
      </w:tr>
      <w:tr w:rsidR="00C63C42" w:rsidRPr="002E467F" w:rsidTr="00F97F76">
        <w:trPr>
          <w:jc w:val="center"/>
        </w:trPr>
        <w:tc>
          <w:tcPr>
            <w:tcW w:w="2985" w:type="dxa"/>
            <w:shd w:val="clear" w:color="auto" w:fill="FFFFFF"/>
            <w:vAlign w:val="center"/>
          </w:tcPr>
          <w:p w:rsidR="00F27AC9" w:rsidRDefault="00F27AC9" w:rsidP="00540AC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:rsidR="00C63C42" w:rsidRPr="00F27AC9" w:rsidRDefault="00C63C42" w:rsidP="00540AC5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F27AC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3170" w:type="dxa"/>
            <w:shd w:val="clear" w:color="auto" w:fill="FFFFFF"/>
            <w:vAlign w:val="center"/>
          </w:tcPr>
          <w:p w:rsidR="00F27AC9" w:rsidRDefault="00F27AC9" w:rsidP="00F27AC9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C63C42" w:rsidRPr="00F27AC9" w:rsidRDefault="007718BF" w:rsidP="00F27AC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27AC9">
              <w:rPr>
                <w:rFonts w:ascii="Arial" w:hAnsi="Arial" w:cs="Arial"/>
                <w:b/>
              </w:rPr>
              <w:t>4</w:t>
            </w:r>
            <w:r w:rsidR="00F31E46" w:rsidRPr="00F27AC9">
              <w:rPr>
                <w:rFonts w:ascii="Arial" w:hAnsi="Arial" w:cs="Arial"/>
                <w:b/>
              </w:rPr>
              <w:t xml:space="preserve"> </w:t>
            </w:r>
            <w:r w:rsidRPr="00F27AC9">
              <w:rPr>
                <w:rFonts w:ascii="Arial" w:hAnsi="Arial" w:cs="Arial"/>
                <w:b/>
              </w:rPr>
              <w:t>78</w:t>
            </w:r>
            <w:r w:rsidR="00F31E46" w:rsidRPr="00F27AC9">
              <w:rPr>
                <w:rFonts w:ascii="Arial" w:hAnsi="Arial" w:cs="Arial"/>
                <w:b/>
              </w:rPr>
              <w:t>0</w:t>
            </w:r>
            <w:r w:rsidR="00C63C42" w:rsidRPr="00F27AC9">
              <w:rPr>
                <w:rFonts w:ascii="Arial" w:hAnsi="Arial" w:cs="Arial"/>
                <w:b/>
              </w:rPr>
              <w:t xml:space="preserve"> zł</w:t>
            </w:r>
          </w:p>
        </w:tc>
      </w:tr>
    </w:tbl>
    <w:p w:rsidR="00AA6D4D" w:rsidRDefault="0035671B" w:rsidP="002E467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36665" w:rsidRDefault="00236665" w:rsidP="002E467F">
      <w:pPr>
        <w:spacing w:after="120"/>
        <w:jc w:val="both"/>
        <w:rPr>
          <w:rFonts w:ascii="Arial" w:hAnsi="Arial" w:cs="Arial"/>
        </w:rPr>
      </w:pPr>
    </w:p>
    <w:p w:rsidR="00393C9C" w:rsidRPr="00D863D5" w:rsidRDefault="00393C9C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77" w:name="_Toc509822559"/>
      <w:bookmarkStart w:id="78" w:name="_Toc509905414"/>
      <w:bookmarkStart w:id="79" w:name="_Toc509905547"/>
      <w:bookmarkStart w:id="80" w:name="_Toc509905588"/>
      <w:bookmarkStart w:id="81" w:name="_Toc510000097"/>
      <w:bookmarkStart w:id="82" w:name="_Toc506793894"/>
      <w:bookmarkStart w:id="83" w:name="_Toc506793916"/>
      <w:bookmarkStart w:id="84" w:name="_Toc506793983"/>
      <w:bookmarkStart w:id="85" w:name="_Toc506794015"/>
      <w:bookmarkStart w:id="86" w:name="_Toc510100708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D863D5">
        <w:rPr>
          <w:rFonts w:ascii="Arial" w:hAnsi="Arial" w:cs="Arial"/>
          <w:b/>
        </w:rPr>
        <w:t xml:space="preserve">Informacje o dochodach, które mogą </w:t>
      </w:r>
      <w:r w:rsidR="00B2383A" w:rsidRPr="00D863D5">
        <w:rPr>
          <w:rFonts w:ascii="Arial" w:hAnsi="Arial" w:cs="Arial"/>
          <w:b/>
        </w:rPr>
        <w:t>p</w:t>
      </w:r>
      <w:r w:rsidRPr="00D863D5">
        <w:rPr>
          <w:rFonts w:ascii="Arial" w:hAnsi="Arial" w:cs="Arial"/>
          <w:b/>
        </w:rPr>
        <w:t>owsta</w:t>
      </w:r>
      <w:r w:rsidR="00B2383A" w:rsidRPr="00D863D5">
        <w:rPr>
          <w:rFonts w:ascii="Arial" w:hAnsi="Arial" w:cs="Arial"/>
          <w:b/>
        </w:rPr>
        <w:t>ć</w:t>
      </w:r>
      <w:r w:rsidRPr="00D863D5">
        <w:rPr>
          <w:rFonts w:ascii="Arial" w:hAnsi="Arial" w:cs="Arial"/>
          <w:b/>
        </w:rPr>
        <w:t xml:space="preserve"> w związku z zastosowaniem </w:t>
      </w:r>
      <w:r w:rsidR="00B2383A" w:rsidRPr="00D863D5">
        <w:rPr>
          <w:rFonts w:ascii="Arial" w:hAnsi="Arial" w:cs="Arial"/>
          <w:b/>
        </w:rPr>
        <w:t>staw</w:t>
      </w:r>
      <w:r w:rsidR="00540AC5">
        <w:rPr>
          <w:rFonts w:ascii="Arial" w:hAnsi="Arial" w:cs="Arial"/>
          <w:b/>
        </w:rPr>
        <w:t>ek</w:t>
      </w:r>
      <w:r w:rsidR="00B2383A" w:rsidRPr="00D863D5">
        <w:rPr>
          <w:rFonts w:ascii="Arial" w:hAnsi="Arial" w:cs="Arial"/>
          <w:b/>
        </w:rPr>
        <w:t xml:space="preserve"> </w:t>
      </w:r>
      <w:r w:rsidRPr="00D863D5">
        <w:rPr>
          <w:rFonts w:ascii="Arial" w:hAnsi="Arial" w:cs="Arial"/>
          <w:b/>
        </w:rPr>
        <w:t>jednostkow</w:t>
      </w:r>
      <w:r w:rsidR="00540AC5">
        <w:rPr>
          <w:rFonts w:ascii="Arial" w:hAnsi="Arial" w:cs="Arial"/>
          <w:b/>
        </w:rPr>
        <w:t>ych</w:t>
      </w:r>
      <w:bookmarkEnd w:id="86"/>
      <w:r w:rsidR="00540AC5">
        <w:rPr>
          <w:rFonts w:ascii="Arial" w:hAnsi="Arial" w:cs="Arial"/>
          <w:b/>
        </w:rPr>
        <w:t xml:space="preserve"> </w:t>
      </w:r>
      <w:r w:rsidRPr="00D863D5">
        <w:rPr>
          <w:rFonts w:ascii="Arial" w:hAnsi="Arial" w:cs="Arial"/>
          <w:b/>
        </w:rPr>
        <w:t xml:space="preserve"> </w:t>
      </w:r>
    </w:p>
    <w:p w:rsidR="00B2383A" w:rsidRDefault="00B2383A" w:rsidP="00B2383A">
      <w:pPr>
        <w:spacing w:after="120"/>
        <w:jc w:val="both"/>
        <w:rPr>
          <w:rFonts w:ascii="Arial" w:hAnsi="Arial" w:cs="Arial"/>
          <w:color w:val="000000"/>
        </w:rPr>
      </w:pPr>
      <w:r w:rsidRPr="00B2383A">
        <w:rPr>
          <w:rFonts w:ascii="Arial" w:hAnsi="Arial" w:cs="Arial"/>
          <w:color w:val="000000"/>
        </w:rPr>
        <w:t xml:space="preserve">Nie przewiduje się dochodu rozumianego zgodnie z art. 61 rozporządzenia ogólnego. </w:t>
      </w:r>
      <w:r w:rsidRPr="00B2383A">
        <w:rPr>
          <w:rFonts w:ascii="Arial" w:hAnsi="Arial" w:cs="Arial"/>
          <w:color w:val="000000"/>
        </w:rPr>
        <w:br/>
        <w:t>W przypadku dochodu wygenerowanego podczas realizacji projektu, który nie został wzięty pod uwagę w czasie jego zatwierdzenia</w:t>
      </w:r>
      <w:r>
        <w:rPr>
          <w:rFonts w:ascii="Arial" w:hAnsi="Arial" w:cs="Arial"/>
          <w:color w:val="000000"/>
        </w:rPr>
        <w:t>, o którym mowa w art. 65 rozporządzenia ogólnego</w:t>
      </w:r>
      <w:r w:rsidRPr="00B2383A">
        <w:rPr>
          <w:rFonts w:ascii="Arial" w:hAnsi="Arial" w:cs="Arial"/>
          <w:color w:val="000000"/>
        </w:rPr>
        <w:t xml:space="preserve">, zastosowanie ma rozdział 6.9 </w:t>
      </w:r>
      <w:r w:rsidRPr="00B2383A">
        <w:rPr>
          <w:rFonts w:ascii="Arial" w:hAnsi="Arial" w:cs="Arial"/>
          <w:i/>
          <w:color w:val="000000"/>
        </w:rPr>
        <w:t>Wytycznych w zakresie kwalifikowalności wydatków w ramach EFRR, EFS, FS na lata 2014-2020</w:t>
      </w:r>
      <w:r w:rsidRPr="00B2383A">
        <w:rPr>
          <w:rFonts w:ascii="Arial" w:hAnsi="Arial" w:cs="Arial"/>
          <w:color w:val="000000"/>
        </w:rPr>
        <w:t>.</w:t>
      </w:r>
    </w:p>
    <w:p w:rsidR="006A2520" w:rsidRPr="00B2383A" w:rsidRDefault="006A2520" w:rsidP="00B2383A">
      <w:pPr>
        <w:spacing w:after="120"/>
        <w:jc w:val="both"/>
        <w:rPr>
          <w:rFonts w:ascii="Arial" w:hAnsi="Arial" w:cs="Arial"/>
          <w:color w:val="000000"/>
        </w:rPr>
      </w:pPr>
    </w:p>
    <w:p w:rsidR="00393C9C" w:rsidRPr="00D863D5" w:rsidRDefault="00393C9C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87" w:name="_Toc510100709"/>
      <w:r w:rsidRPr="00D863D5">
        <w:rPr>
          <w:rFonts w:ascii="Arial" w:hAnsi="Arial" w:cs="Arial"/>
          <w:b/>
        </w:rPr>
        <w:t xml:space="preserve">Informacje, w jaki sposób zapewniono, że tylko wydatki kwalifikowalne uwzględniono </w:t>
      </w:r>
      <w:r w:rsidR="00157A5F" w:rsidRPr="00D863D5">
        <w:rPr>
          <w:rFonts w:ascii="Arial" w:hAnsi="Arial" w:cs="Arial"/>
          <w:b/>
        </w:rPr>
        <w:br/>
      </w:r>
      <w:r w:rsidRPr="00D863D5">
        <w:rPr>
          <w:rFonts w:ascii="Arial" w:hAnsi="Arial" w:cs="Arial"/>
          <w:b/>
        </w:rPr>
        <w:t>w ramach staw</w:t>
      </w:r>
      <w:r w:rsidR="00540AC5">
        <w:rPr>
          <w:rFonts w:ascii="Arial" w:hAnsi="Arial" w:cs="Arial"/>
          <w:b/>
        </w:rPr>
        <w:t xml:space="preserve">ek </w:t>
      </w:r>
      <w:r w:rsidRPr="00D863D5">
        <w:rPr>
          <w:rFonts w:ascii="Arial" w:hAnsi="Arial" w:cs="Arial"/>
          <w:b/>
        </w:rPr>
        <w:t>jednostkow</w:t>
      </w:r>
      <w:r w:rsidR="00540AC5">
        <w:rPr>
          <w:rFonts w:ascii="Arial" w:hAnsi="Arial" w:cs="Arial"/>
          <w:b/>
        </w:rPr>
        <w:t>ych</w:t>
      </w:r>
      <w:bookmarkEnd w:id="87"/>
    </w:p>
    <w:p w:rsidR="00157A5F" w:rsidRPr="00157A5F" w:rsidRDefault="00157A5F" w:rsidP="00157A5F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Koszt s</w:t>
      </w:r>
      <w:r w:rsidRPr="00157A5F">
        <w:rPr>
          <w:rFonts w:ascii="Arial" w:hAnsi="Arial" w:cs="Arial"/>
          <w:color w:val="000000"/>
        </w:rPr>
        <w:t>taw</w:t>
      </w:r>
      <w:r w:rsidR="00540AC5">
        <w:rPr>
          <w:rFonts w:ascii="Arial" w:hAnsi="Arial" w:cs="Arial"/>
          <w:color w:val="000000"/>
        </w:rPr>
        <w:t xml:space="preserve">ek </w:t>
      </w:r>
      <w:r>
        <w:rPr>
          <w:rFonts w:ascii="Arial" w:hAnsi="Arial" w:cs="Arial"/>
          <w:color w:val="000000"/>
        </w:rPr>
        <w:t>jednostkow</w:t>
      </w:r>
      <w:r w:rsidR="00540AC5">
        <w:rPr>
          <w:rFonts w:ascii="Arial" w:hAnsi="Arial" w:cs="Arial"/>
          <w:color w:val="000000"/>
        </w:rPr>
        <w:t xml:space="preserve">ych </w:t>
      </w:r>
      <w:r>
        <w:rPr>
          <w:rFonts w:ascii="Arial" w:hAnsi="Arial" w:cs="Arial"/>
          <w:color w:val="000000"/>
        </w:rPr>
        <w:t xml:space="preserve">został obliczony </w:t>
      </w:r>
      <w:r w:rsidRPr="00157A5F">
        <w:rPr>
          <w:rFonts w:ascii="Arial" w:hAnsi="Arial" w:cs="Arial"/>
          <w:color w:val="000000"/>
        </w:rPr>
        <w:t xml:space="preserve">na podstawie danych historycznych pochodzących </w:t>
      </w:r>
      <w:r>
        <w:rPr>
          <w:rFonts w:ascii="Arial" w:hAnsi="Arial" w:cs="Arial"/>
          <w:color w:val="000000"/>
        </w:rPr>
        <w:br/>
      </w:r>
      <w:r w:rsidRPr="00157A5F">
        <w:rPr>
          <w:rFonts w:ascii="Arial" w:hAnsi="Arial" w:cs="Arial"/>
          <w:color w:val="000000"/>
        </w:rPr>
        <w:t xml:space="preserve">z zakończonych projektów PO KL, </w:t>
      </w:r>
      <w:r>
        <w:rPr>
          <w:rFonts w:ascii="Arial" w:hAnsi="Arial" w:cs="Arial"/>
          <w:color w:val="000000"/>
        </w:rPr>
        <w:t>które zostały zamknięte przez właściwą instytucję jako te, które zostały zrealizowane zgodnie z wnioskiem o dofinansowanie i uwzględniają wyłącznie wydatki kwalifikowalne podlegające certyfikacji KE. Powyższe oznacza, że stawk</w:t>
      </w:r>
      <w:r w:rsidR="00540AC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jednostkow</w:t>
      </w:r>
      <w:r w:rsidR="00540AC5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uwzględnia</w:t>
      </w:r>
      <w:r w:rsidR="00A10CF7">
        <w:rPr>
          <w:rFonts w:ascii="Arial" w:hAnsi="Arial" w:cs="Arial"/>
          <w:color w:val="000000"/>
        </w:rPr>
        <w:t>ją</w:t>
      </w:r>
      <w:r>
        <w:rPr>
          <w:rFonts w:ascii="Arial" w:hAnsi="Arial" w:cs="Arial"/>
          <w:color w:val="000000"/>
        </w:rPr>
        <w:t xml:space="preserve"> wydatki kwalifikowalne poniesione zgodnie z przepisami prawa, obowiązującymi procedurami </w:t>
      </w:r>
      <w:r>
        <w:rPr>
          <w:rFonts w:ascii="Arial" w:hAnsi="Arial" w:cs="Arial"/>
          <w:color w:val="000000"/>
        </w:rPr>
        <w:br/>
        <w:t xml:space="preserve">i wytycznymi właściwej instytucji. </w:t>
      </w:r>
    </w:p>
    <w:p w:rsidR="00157A5F" w:rsidRPr="00157A5F" w:rsidRDefault="00157A5F" w:rsidP="00157A5F">
      <w:pPr>
        <w:spacing w:after="120"/>
        <w:jc w:val="both"/>
        <w:outlineLvl w:val="0"/>
        <w:rPr>
          <w:rFonts w:ascii="Arial" w:hAnsi="Arial" w:cs="Arial"/>
          <w:b/>
        </w:rPr>
      </w:pPr>
    </w:p>
    <w:p w:rsidR="00540AC5" w:rsidRPr="00320AA1" w:rsidRDefault="00393C9C" w:rsidP="00D76C67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  <w:color w:val="000000"/>
        </w:rPr>
      </w:pPr>
      <w:bookmarkStart w:id="88" w:name="_Toc510100710"/>
      <w:r w:rsidRPr="007E5864">
        <w:rPr>
          <w:rFonts w:ascii="Arial" w:hAnsi="Arial" w:cs="Arial"/>
          <w:b/>
        </w:rPr>
        <w:t>Poziom cross-financingu i zakupu środków trwałych objętych stawk</w:t>
      </w:r>
      <w:r w:rsidR="00540AC5" w:rsidRPr="007E5864">
        <w:rPr>
          <w:rFonts w:ascii="Arial" w:hAnsi="Arial" w:cs="Arial"/>
          <w:b/>
        </w:rPr>
        <w:t>ami jednostkowymi</w:t>
      </w:r>
      <w:bookmarkEnd w:id="88"/>
      <w:r w:rsidR="00540AC5" w:rsidRPr="007E5864">
        <w:rPr>
          <w:rFonts w:ascii="Arial" w:hAnsi="Arial" w:cs="Arial"/>
          <w:b/>
        </w:rPr>
        <w:t xml:space="preserve"> </w:t>
      </w:r>
    </w:p>
    <w:p w:rsidR="006B12B4" w:rsidRPr="00D76C67" w:rsidRDefault="006B12B4" w:rsidP="00320AA1">
      <w:pPr>
        <w:jc w:val="both"/>
        <w:rPr>
          <w:rFonts w:ascii="Arial" w:hAnsi="Arial" w:cs="Arial"/>
          <w:color w:val="000000"/>
        </w:rPr>
      </w:pPr>
      <w:r w:rsidRPr="00D76C67">
        <w:rPr>
          <w:rFonts w:ascii="Arial" w:hAnsi="Arial" w:cs="Arial"/>
          <w:color w:val="000000"/>
        </w:rPr>
        <w:t>W ramach staw</w:t>
      </w:r>
      <w:r w:rsidR="007E5864">
        <w:rPr>
          <w:rFonts w:ascii="Arial" w:hAnsi="Arial" w:cs="Arial"/>
          <w:color w:val="000000"/>
        </w:rPr>
        <w:t>e</w:t>
      </w:r>
      <w:r w:rsidRPr="00D76C67">
        <w:rPr>
          <w:rFonts w:ascii="Arial" w:hAnsi="Arial" w:cs="Arial"/>
          <w:color w:val="000000"/>
        </w:rPr>
        <w:t xml:space="preserve">k </w:t>
      </w:r>
      <w:r w:rsidR="007E5864" w:rsidRPr="00D76C67">
        <w:rPr>
          <w:rFonts w:ascii="Arial" w:hAnsi="Arial" w:cs="Arial"/>
          <w:color w:val="000000"/>
        </w:rPr>
        <w:t>jednostkow</w:t>
      </w:r>
      <w:r w:rsidR="007E5864">
        <w:rPr>
          <w:rFonts w:ascii="Arial" w:hAnsi="Arial" w:cs="Arial"/>
          <w:color w:val="000000"/>
        </w:rPr>
        <w:t xml:space="preserve">ych </w:t>
      </w:r>
      <w:r w:rsidRPr="00D76C67">
        <w:rPr>
          <w:rFonts w:ascii="Arial" w:hAnsi="Arial" w:cs="Arial"/>
          <w:color w:val="000000"/>
        </w:rPr>
        <w:t xml:space="preserve">nie przewidziano zakupu środków trwałych oraz wydatków </w:t>
      </w:r>
      <w:r w:rsidR="007E5864">
        <w:rPr>
          <w:rFonts w:ascii="Arial" w:hAnsi="Arial" w:cs="Arial"/>
          <w:color w:val="000000"/>
        </w:rPr>
        <w:br/>
      </w:r>
      <w:r w:rsidRPr="00D76C67">
        <w:rPr>
          <w:rFonts w:ascii="Arial" w:hAnsi="Arial" w:cs="Arial"/>
          <w:color w:val="000000"/>
        </w:rPr>
        <w:t>w ramach cross</w:t>
      </w:r>
      <w:r w:rsidR="00820C49">
        <w:rPr>
          <w:rFonts w:ascii="Arial" w:hAnsi="Arial" w:cs="Arial"/>
          <w:color w:val="000000"/>
        </w:rPr>
        <w:t>-</w:t>
      </w:r>
      <w:r w:rsidRPr="00D76C67">
        <w:rPr>
          <w:rFonts w:ascii="Arial" w:hAnsi="Arial" w:cs="Arial"/>
          <w:color w:val="000000"/>
        </w:rPr>
        <w:t xml:space="preserve">financingu. </w:t>
      </w:r>
    </w:p>
    <w:p w:rsidR="00165786" w:rsidRDefault="00165786" w:rsidP="006B12B4">
      <w:pPr>
        <w:spacing w:after="120"/>
        <w:jc w:val="both"/>
        <w:rPr>
          <w:rFonts w:ascii="Arial" w:hAnsi="Arial" w:cs="Arial"/>
          <w:color w:val="000000"/>
        </w:rPr>
      </w:pPr>
    </w:p>
    <w:p w:rsidR="00393C9C" w:rsidRPr="00D863D5" w:rsidRDefault="00393C9C" w:rsidP="00B9642D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89" w:name="_Toc510100711"/>
      <w:r w:rsidRPr="00D863D5">
        <w:rPr>
          <w:rFonts w:ascii="Arial" w:hAnsi="Arial" w:cs="Arial"/>
          <w:b/>
        </w:rPr>
        <w:t>Sposób weryfikacji/dokumenty potw</w:t>
      </w:r>
      <w:r w:rsidR="00A95E9E" w:rsidRPr="00D863D5">
        <w:rPr>
          <w:rFonts w:ascii="Arial" w:hAnsi="Arial" w:cs="Arial"/>
          <w:b/>
        </w:rPr>
        <w:t>i</w:t>
      </w:r>
      <w:r w:rsidRPr="00D863D5">
        <w:rPr>
          <w:rFonts w:ascii="Arial" w:hAnsi="Arial" w:cs="Arial"/>
          <w:b/>
        </w:rPr>
        <w:t>erdzające wykonanie staw</w:t>
      </w:r>
      <w:r w:rsidR="001E2618">
        <w:rPr>
          <w:rFonts w:ascii="Arial" w:hAnsi="Arial" w:cs="Arial"/>
          <w:b/>
        </w:rPr>
        <w:t xml:space="preserve">ek </w:t>
      </w:r>
      <w:r w:rsidRPr="00D863D5">
        <w:rPr>
          <w:rFonts w:ascii="Arial" w:hAnsi="Arial" w:cs="Arial"/>
          <w:b/>
        </w:rPr>
        <w:t>jednostk</w:t>
      </w:r>
      <w:r w:rsidR="00A95E9E" w:rsidRPr="00D863D5">
        <w:rPr>
          <w:rFonts w:ascii="Arial" w:hAnsi="Arial" w:cs="Arial"/>
          <w:b/>
        </w:rPr>
        <w:t>o</w:t>
      </w:r>
      <w:r w:rsidRPr="00D863D5">
        <w:rPr>
          <w:rFonts w:ascii="Arial" w:hAnsi="Arial" w:cs="Arial"/>
          <w:b/>
        </w:rPr>
        <w:t>w</w:t>
      </w:r>
      <w:r w:rsidR="001E2618">
        <w:rPr>
          <w:rFonts w:ascii="Arial" w:hAnsi="Arial" w:cs="Arial"/>
          <w:b/>
        </w:rPr>
        <w:t>ych</w:t>
      </w:r>
      <w:bookmarkEnd w:id="89"/>
      <w:r w:rsidR="001E2618">
        <w:rPr>
          <w:rFonts w:ascii="Arial" w:hAnsi="Arial" w:cs="Arial"/>
          <w:b/>
        </w:rPr>
        <w:t xml:space="preserve"> </w:t>
      </w:r>
    </w:p>
    <w:p w:rsidR="00A95E9E" w:rsidRDefault="00A95E9E" w:rsidP="00D863D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Wydatki rozliczane stawk</w:t>
      </w:r>
      <w:r w:rsidR="001E2618">
        <w:rPr>
          <w:rFonts w:ascii="Arial" w:hAnsi="Arial" w:cs="Arial"/>
        </w:rPr>
        <w:t xml:space="preserve">ami </w:t>
      </w:r>
      <w:r w:rsidR="00D16DBD">
        <w:rPr>
          <w:rFonts w:ascii="Arial" w:hAnsi="Arial" w:cs="Arial"/>
        </w:rPr>
        <w:t>jednostkowymi</w:t>
      </w:r>
      <w:r w:rsidR="00BD29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są traktowane jako wydatki poniesione. Beneficjent nie ma obowiązku gromadzenia ani opisywania dokumentów księgowych w ramach projektu na potwierdzenie poniesienia wydatków, które zostały wykazane jako wydatki objęte stawk</w:t>
      </w:r>
      <w:r w:rsidR="00BD2994">
        <w:rPr>
          <w:rFonts w:ascii="Arial" w:hAnsi="Arial" w:cs="Arial"/>
        </w:rPr>
        <w:t>ami</w:t>
      </w:r>
      <w:r>
        <w:rPr>
          <w:rFonts w:ascii="Arial" w:hAnsi="Arial" w:cs="Arial"/>
        </w:rPr>
        <w:t xml:space="preserve"> jednostkow</w:t>
      </w:r>
      <w:r w:rsidR="00BD2994">
        <w:rPr>
          <w:rFonts w:ascii="Arial" w:hAnsi="Arial" w:cs="Arial"/>
        </w:rPr>
        <w:t>ymi</w:t>
      </w:r>
      <w:r>
        <w:rPr>
          <w:rFonts w:ascii="Arial" w:hAnsi="Arial" w:cs="Arial"/>
        </w:rPr>
        <w:t>.</w:t>
      </w:r>
    </w:p>
    <w:p w:rsidR="00A6177E" w:rsidRDefault="00A95E9E" w:rsidP="00D863D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 wynika z pkt 2 sekcji 6.6.2 </w:t>
      </w:r>
      <w:r w:rsidRPr="00A95E9E">
        <w:rPr>
          <w:rFonts w:ascii="Arial" w:hAnsi="Arial" w:cs="Arial"/>
          <w:i/>
        </w:rPr>
        <w:t>Wytycznych w zakresie kwalifikowalności wydatków w ramach EFRR, EFS oraz FS na lata 2014-2020</w:t>
      </w:r>
      <w:r>
        <w:rPr>
          <w:rFonts w:ascii="Arial" w:hAnsi="Arial" w:cs="Arial"/>
        </w:rPr>
        <w:t xml:space="preserve">, beneficjent zobowiązany jest do wskazania w umowie </w:t>
      </w:r>
      <w:r w:rsidR="001E2618">
        <w:rPr>
          <w:rFonts w:ascii="Arial" w:hAnsi="Arial" w:cs="Arial"/>
        </w:rPr>
        <w:br/>
      </w:r>
      <w:r>
        <w:rPr>
          <w:rFonts w:ascii="Arial" w:hAnsi="Arial" w:cs="Arial"/>
        </w:rPr>
        <w:t>o dofinansowanie (wniosku o dofinansowanie) s</w:t>
      </w:r>
      <w:r w:rsidRPr="00A95E9E">
        <w:rPr>
          <w:rFonts w:ascii="Arial" w:hAnsi="Arial" w:cs="Arial"/>
        </w:rPr>
        <w:t>pos</w:t>
      </w:r>
      <w:r>
        <w:rPr>
          <w:rFonts w:ascii="Arial" w:hAnsi="Arial" w:cs="Arial"/>
        </w:rPr>
        <w:t xml:space="preserve">obu weryfikacji </w:t>
      </w:r>
      <w:r w:rsidR="00A6177E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dokument</w:t>
      </w:r>
      <w:r w:rsidR="00A6177E">
        <w:rPr>
          <w:rFonts w:ascii="Arial" w:hAnsi="Arial" w:cs="Arial"/>
        </w:rPr>
        <w:t xml:space="preserve">ów </w:t>
      </w:r>
      <w:r>
        <w:rPr>
          <w:rFonts w:ascii="Arial" w:hAnsi="Arial" w:cs="Arial"/>
        </w:rPr>
        <w:t>potwierdzając</w:t>
      </w:r>
      <w:r w:rsidR="00A6177E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wykonanie staw</w:t>
      </w:r>
      <w:r w:rsidR="00EE2683">
        <w:rPr>
          <w:rFonts w:ascii="Arial" w:hAnsi="Arial" w:cs="Arial"/>
        </w:rPr>
        <w:t>e</w:t>
      </w:r>
      <w:r>
        <w:rPr>
          <w:rFonts w:ascii="Arial" w:hAnsi="Arial" w:cs="Arial"/>
        </w:rPr>
        <w:t>k jednostkow</w:t>
      </w:r>
      <w:r w:rsidR="00EE2683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– co podlega zatwierdzeniu przez właściwą instytucję.</w:t>
      </w:r>
      <w:r w:rsidR="00CD127F">
        <w:rPr>
          <w:rFonts w:ascii="Arial" w:hAnsi="Arial" w:cs="Arial"/>
        </w:rPr>
        <w:t xml:space="preserve"> </w:t>
      </w:r>
    </w:p>
    <w:p w:rsidR="00A95E9E" w:rsidRDefault="00A6177E" w:rsidP="00D863D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Dokumentami potwierdzającymi wykonanie staw</w:t>
      </w:r>
      <w:r w:rsidR="00EE2683">
        <w:rPr>
          <w:rFonts w:ascii="Arial" w:hAnsi="Arial" w:cs="Arial"/>
        </w:rPr>
        <w:t>e</w:t>
      </w:r>
      <w:r>
        <w:rPr>
          <w:rFonts w:ascii="Arial" w:hAnsi="Arial" w:cs="Arial"/>
        </w:rPr>
        <w:t>k jednostkow</w:t>
      </w:r>
      <w:r w:rsidR="00EE2683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</w:t>
      </w:r>
      <w:r w:rsidR="00582E6A">
        <w:rPr>
          <w:rFonts w:ascii="Arial" w:hAnsi="Arial" w:cs="Arial"/>
        </w:rPr>
        <w:t xml:space="preserve">i służącymi do </w:t>
      </w:r>
      <w:r w:rsidR="00BD2994">
        <w:rPr>
          <w:rFonts w:ascii="Arial" w:hAnsi="Arial" w:cs="Arial"/>
        </w:rPr>
        <w:t>ich</w:t>
      </w:r>
      <w:r w:rsidR="00582E6A">
        <w:rPr>
          <w:rFonts w:ascii="Arial" w:hAnsi="Arial" w:cs="Arial"/>
        </w:rPr>
        <w:t xml:space="preserve"> rozliczenia </w:t>
      </w:r>
      <w:r>
        <w:rPr>
          <w:rFonts w:ascii="Arial" w:hAnsi="Arial" w:cs="Arial"/>
        </w:rPr>
        <w:t>są:</w:t>
      </w:r>
    </w:p>
    <w:p w:rsidR="00A6177E" w:rsidRDefault="00A6177E" w:rsidP="00A6177E">
      <w:pPr>
        <w:pStyle w:val="Akapitzlist"/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Indywidualny Plan Działania (IPD) lub inny dokument pełniący analogiczną funkcję,</w:t>
      </w:r>
    </w:p>
    <w:p w:rsidR="00A95E9E" w:rsidRPr="00882E68" w:rsidRDefault="00F9301B" w:rsidP="001266A1">
      <w:pPr>
        <w:pStyle w:val="Akapitzlist"/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 w:rsidRPr="00926B74">
        <w:rPr>
          <w:rFonts w:ascii="Arial" w:eastAsia="Calibri" w:hAnsi="Arial" w:cs="Arial"/>
          <w:lang w:eastAsia="en-US"/>
        </w:rPr>
        <w:t>dodatkowe dokumenty potwierdzające realizację form wsparci</w:t>
      </w:r>
      <w:r w:rsidR="00D20867" w:rsidRPr="00926B74">
        <w:rPr>
          <w:rFonts w:ascii="Arial" w:eastAsia="Calibri" w:hAnsi="Arial" w:cs="Arial"/>
          <w:lang w:eastAsia="en-US"/>
        </w:rPr>
        <w:t>a</w:t>
      </w:r>
      <w:r w:rsidRPr="0027700D">
        <w:rPr>
          <w:rFonts w:ascii="Arial" w:eastAsia="Calibri" w:hAnsi="Arial" w:cs="Arial"/>
          <w:lang w:eastAsia="en-US"/>
        </w:rPr>
        <w:t xml:space="preserve"> uczestnikowi zgodnie </w:t>
      </w:r>
      <w:r w:rsidR="00C007AE" w:rsidRPr="0027700D">
        <w:rPr>
          <w:rFonts w:ascii="Arial" w:eastAsia="Calibri" w:hAnsi="Arial" w:cs="Arial"/>
          <w:lang w:eastAsia="en-US"/>
        </w:rPr>
        <w:br/>
      </w:r>
      <w:r w:rsidRPr="0027700D">
        <w:rPr>
          <w:rFonts w:ascii="Arial" w:eastAsia="Calibri" w:hAnsi="Arial" w:cs="Arial"/>
          <w:lang w:eastAsia="en-US"/>
        </w:rPr>
        <w:t xml:space="preserve">z </w:t>
      </w:r>
      <w:r w:rsidR="00C007AE" w:rsidRPr="0027700D">
        <w:rPr>
          <w:rFonts w:ascii="Arial" w:eastAsia="Calibri" w:hAnsi="Arial" w:cs="Arial"/>
          <w:lang w:eastAsia="en-US"/>
        </w:rPr>
        <w:t xml:space="preserve">poniższą </w:t>
      </w:r>
      <w:r w:rsidRPr="0027700D">
        <w:rPr>
          <w:rFonts w:ascii="Arial" w:eastAsia="Calibri" w:hAnsi="Arial" w:cs="Arial"/>
          <w:lang w:eastAsia="en-US"/>
        </w:rPr>
        <w:t>tabel</w:t>
      </w:r>
      <w:r w:rsidR="00C007AE" w:rsidRPr="0027700D">
        <w:rPr>
          <w:rFonts w:ascii="Arial" w:eastAsia="Calibri" w:hAnsi="Arial" w:cs="Arial"/>
          <w:lang w:eastAsia="en-US"/>
        </w:rPr>
        <w:t>ą:</w:t>
      </w:r>
    </w:p>
    <w:p w:rsidR="00882E68" w:rsidRDefault="00882E68" w:rsidP="00882E68">
      <w:pPr>
        <w:pStyle w:val="Akapitzlist"/>
        <w:spacing w:after="120"/>
        <w:jc w:val="both"/>
        <w:rPr>
          <w:rFonts w:ascii="Arial" w:eastAsia="Calibri" w:hAnsi="Arial" w:cs="Arial"/>
          <w:lang w:eastAsia="en-US"/>
        </w:rPr>
      </w:pPr>
    </w:p>
    <w:tbl>
      <w:tblPr>
        <w:tblW w:w="918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6651"/>
      </w:tblGrid>
      <w:tr w:rsidR="00830C4F" w:rsidRPr="003C5DBC" w:rsidTr="00AC6A5D">
        <w:tc>
          <w:tcPr>
            <w:tcW w:w="2529" w:type="dxa"/>
            <w:shd w:val="clear" w:color="auto" w:fill="DBE5F1"/>
            <w:vAlign w:val="center"/>
          </w:tcPr>
          <w:p w:rsidR="00830C4F" w:rsidRPr="003C5DBC" w:rsidRDefault="00830C4F" w:rsidP="00830C4F">
            <w:pPr>
              <w:spacing w:after="120"/>
              <w:rPr>
                <w:rFonts w:ascii="Arial" w:eastAsia="Calibri" w:hAnsi="Arial" w:cs="Arial"/>
                <w:b/>
                <w:lang w:eastAsia="en-US"/>
              </w:rPr>
            </w:pPr>
          </w:p>
          <w:p w:rsidR="00830C4F" w:rsidRPr="003C5DBC" w:rsidRDefault="00226771" w:rsidP="00830C4F">
            <w:pPr>
              <w:spacing w:after="120"/>
              <w:rPr>
                <w:rFonts w:ascii="Arial" w:eastAsia="Calibri" w:hAnsi="Arial" w:cs="Arial"/>
                <w:b/>
                <w:lang w:eastAsia="en-US"/>
              </w:rPr>
            </w:pPr>
            <w:r w:rsidRPr="003C5DBC">
              <w:rPr>
                <w:rFonts w:ascii="Arial" w:eastAsia="Calibri" w:hAnsi="Arial" w:cs="Arial"/>
                <w:b/>
                <w:lang w:eastAsia="en-US"/>
              </w:rPr>
              <w:t>D</w:t>
            </w:r>
            <w:r w:rsidR="00830C4F" w:rsidRPr="003C5DBC">
              <w:rPr>
                <w:rFonts w:ascii="Arial" w:eastAsia="Calibri" w:hAnsi="Arial" w:cs="Arial"/>
                <w:b/>
                <w:lang w:eastAsia="en-US"/>
              </w:rPr>
              <w:t>ziałanie</w:t>
            </w:r>
            <w:r w:rsidR="0059327E">
              <w:rPr>
                <w:rFonts w:ascii="Arial" w:eastAsia="Calibri" w:hAnsi="Arial" w:cs="Arial"/>
                <w:b/>
                <w:lang w:eastAsia="en-US"/>
              </w:rPr>
              <w:t>/ rezultat</w:t>
            </w:r>
          </w:p>
        </w:tc>
        <w:tc>
          <w:tcPr>
            <w:tcW w:w="6651" w:type="dxa"/>
            <w:shd w:val="clear" w:color="auto" w:fill="DBE5F1"/>
            <w:vAlign w:val="center"/>
          </w:tcPr>
          <w:p w:rsidR="00830C4F" w:rsidRPr="003C5DBC" w:rsidRDefault="00830C4F" w:rsidP="00830C4F">
            <w:pPr>
              <w:spacing w:after="120"/>
              <w:rPr>
                <w:rFonts w:ascii="Arial" w:eastAsia="Calibri" w:hAnsi="Arial" w:cs="Arial"/>
                <w:b/>
                <w:lang w:eastAsia="en-US"/>
              </w:rPr>
            </w:pPr>
          </w:p>
          <w:p w:rsidR="00830C4F" w:rsidRPr="003C5DBC" w:rsidRDefault="00820C49" w:rsidP="00830C4F">
            <w:pPr>
              <w:spacing w:after="120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D</w:t>
            </w:r>
            <w:r w:rsidR="00747243" w:rsidRPr="00747243">
              <w:rPr>
                <w:rFonts w:ascii="Arial" w:eastAsia="Calibri" w:hAnsi="Arial" w:cs="Arial"/>
                <w:b/>
                <w:lang w:eastAsia="en-US"/>
              </w:rPr>
              <w:t>okumenty potwierdzające wykonanie działania</w:t>
            </w:r>
            <w:r w:rsidR="00747243" w:rsidRPr="00747243">
              <w:rPr>
                <w:rFonts w:ascii="Arial" w:eastAsia="Calibri" w:hAnsi="Arial" w:cs="Arial"/>
                <w:b/>
                <w:vertAlign w:val="superscript"/>
                <w:lang w:eastAsia="en-US"/>
              </w:rPr>
              <w:footnoteReference w:id="10"/>
            </w:r>
          </w:p>
        </w:tc>
      </w:tr>
      <w:tr w:rsidR="00830C4F" w:rsidRPr="003C5DBC" w:rsidTr="00AC6A5D">
        <w:tc>
          <w:tcPr>
            <w:tcW w:w="2529" w:type="dxa"/>
            <w:shd w:val="clear" w:color="auto" w:fill="FFFFFF"/>
            <w:vAlign w:val="center"/>
          </w:tcPr>
          <w:p w:rsidR="00830C4F" w:rsidRPr="00926B74" w:rsidRDefault="00830C4F" w:rsidP="003E54E2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 xml:space="preserve">szkolenie </w:t>
            </w:r>
          </w:p>
        </w:tc>
        <w:tc>
          <w:tcPr>
            <w:tcW w:w="6651" w:type="dxa"/>
            <w:shd w:val="clear" w:color="auto" w:fill="FFFFFF"/>
            <w:vAlign w:val="center"/>
          </w:tcPr>
          <w:p w:rsidR="00582E6A" w:rsidRPr="001266A1" w:rsidRDefault="00582E6A" w:rsidP="001266A1">
            <w:pPr>
              <w:pStyle w:val="Akapitzlist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2B1C61" w:rsidRPr="00926B74" w:rsidRDefault="002B1C61" w:rsidP="001266A1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>lista obecności</w:t>
            </w:r>
          </w:p>
          <w:p w:rsidR="00830C4F" w:rsidRPr="00926B74" w:rsidRDefault="0028654E" w:rsidP="001266A1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>dokument potwierdzający nabycie kompetencji / kwalifikacji zawierający informacje o efektach uczenia się, np. certyfikat</w:t>
            </w:r>
          </w:p>
          <w:p w:rsidR="00226771" w:rsidRPr="001266A1" w:rsidRDefault="00226771" w:rsidP="001266A1">
            <w:pPr>
              <w:pStyle w:val="Akapitzlist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30C4F" w:rsidRPr="003C5DBC" w:rsidTr="00AC6A5D">
        <w:tc>
          <w:tcPr>
            <w:tcW w:w="2529" w:type="dxa"/>
            <w:shd w:val="clear" w:color="auto" w:fill="FFFFFF"/>
            <w:vAlign w:val="center"/>
          </w:tcPr>
          <w:p w:rsidR="00830C4F" w:rsidRPr="00926B74" w:rsidRDefault="00830C4F" w:rsidP="003E54E2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 xml:space="preserve">staż (miesiąc) </w:t>
            </w:r>
          </w:p>
        </w:tc>
        <w:tc>
          <w:tcPr>
            <w:tcW w:w="6651" w:type="dxa"/>
            <w:shd w:val="clear" w:color="auto" w:fill="FFFFFF"/>
            <w:vAlign w:val="center"/>
          </w:tcPr>
          <w:p w:rsidR="0028654E" w:rsidRPr="001266A1" w:rsidRDefault="0028654E" w:rsidP="0068005E">
            <w:pPr>
              <w:pStyle w:val="Akapitzlist"/>
              <w:numPr>
                <w:ilvl w:val="2"/>
                <w:numId w:val="46"/>
              </w:numPr>
              <w:ind w:left="601" w:hanging="284"/>
              <w:jc w:val="both"/>
              <w:rPr>
                <w:rFonts w:ascii="Arial" w:eastAsia="Calibri" w:hAnsi="Arial" w:cs="Arial"/>
                <w:lang w:eastAsia="en-US"/>
              </w:rPr>
            </w:pPr>
            <w:r w:rsidRPr="001266A1">
              <w:rPr>
                <w:rFonts w:ascii="Arial" w:eastAsia="Calibri" w:hAnsi="Arial" w:cs="Arial"/>
                <w:lang w:eastAsia="en-US"/>
              </w:rPr>
              <w:t>umowa stażowa</w:t>
            </w:r>
          </w:p>
          <w:p w:rsidR="0028654E" w:rsidRPr="001266A1" w:rsidRDefault="002B1C61" w:rsidP="001266A1">
            <w:pPr>
              <w:pStyle w:val="Akapitzlist"/>
              <w:ind w:left="644" w:hanging="327"/>
              <w:jc w:val="both"/>
              <w:rPr>
                <w:rFonts w:ascii="Arial" w:eastAsia="Calibri" w:hAnsi="Arial" w:cs="Arial"/>
                <w:lang w:eastAsia="en-US"/>
              </w:rPr>
            </w:pPr>
            <w:r w:rsidRPr="001266A1">
              <w:rPr>
                <w:rFonts w:ascii="Arial" w:eastAsia="Calibri" w:hAnsi="Arial" w:cs="Arial"/>
                <w:lang w:eastAsia="en-US"/>
              </w:rPr>
              <w:t xml:space="preserve">2. </w:t>
            </w:r>
            <w:r w:rsidR="00820C4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8654E" w:rsidRPr="001266A1">
              <w:rPr>
                <w:rFonts w:ascii="Arial" w:eastAsia="Calibri" w:hAnsi="Arial" w:cs="Arial"/>
                <w:lang w:eastAsia="en-US"/>
              </w:rPr>
              <w:t>lista obecności</w:t>
            </w:r>
          </w:p>
          <w:p w:rsidR="00226771" w:rsidRPr="00926B74" w:rsidRDefault="00226771" w:rsidP="001266A1">
            <w:pPr>
              <w:ind w:left="742" w:hanging="425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30C4F" w:rsidRPr="003C5DBC" w:rsidTr="00AC6A5D">
        <w:tc>
          <w:tcPr>
            <w:tcW w:w="2529" w:type="dxa"/>
            <w:shd w:val="clear" w:color="auto" w:fill="FFFFFF"/>
            <w:vAlign w:val="center"/>
          </w:tcPr>
          <w:p w:rsidR="00830C4F" w:rsidRPr="00926B74" w:rsidRDefault="00685B4F" w:rsidP="00F539D7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</w:t>
            </w:r>
            <w:r w:rsidR="00830C4F" w:rsidRPr="00926B74">
              <w:rPr>
                <w:rFonts w:ascii="Arial" w:eastAsia="Calibri" w:hAnsi="Arial" w:cs="Arial"/>
                <w:lang w:eastAsia="en-US"/>
              </w:rPr>
              <w:t>ośrednictwo</w:t>
            </w:r>
            <w:r>
              <w:rPr>
                <w:rFonts w:ascii="Arial" w:eastAsia="Calibri" w:hAnsi="Arial" w:cs="Arial"/>
                <w:lang w:eastAsia="en-US"/>
              </w:rPr>
              <w:t>/</w:t>
            </w:r>
            <w:r w:rsidR="00F539D7">
              <w:rPr>
                <w:rFonts w:ascii="Arial" w:eastAsia="Calibri" w:hAnsi="Arial" w:cs="Arial"/>
                <w:lang w:eastAsia="en-US"/>
              </w:rPr>
              <w:t xml:space="preserve">poradnictwo </w:t>
            </w:r>
            <w:r>
              <w:rPr>
                <w:rFonts w:ascii="Arial" w:eastAsia="Calibri" w:hAnsi="Arial" w:cs="Arial"/>
                <w:lang w:eastAsia="en-US"/>
              </w:rPr>
              <w:t>zawodowe</w:t>
            </w:r>
            <w:r w:rsidR="00830C4F" w:rsidRPr="00926B7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6651" w:type="dxa"/>
            <w:shd w:val="clear" w:color="auto" w:fill="FFFFFF"/>
            <w:vAlign w:val="center"/>
          </w:tcPr>
          <w:p w:rsidR="0028654E" w:rsidRPr="00926B74" w:rsidRDefault="0028654E" w:rsidP="001266A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>karta czynności doradcy zawodowego / pośrednika pracy podpisan</w:t>
            </w:r>
            <w:r w:rsidR="00707B39" w:rsidRPr="00926B74">
              <w:rPr>
                <w:rFonts w:ascii="Arial" w:eastAsia="Calibri" w:hAnsi="Arial" w:cs="Arial"/>
                <w:lang w:eastAsia="en-US"/>
              </w:rPr>
              <w:t>a</w:t>
            </w:r>
            <w:r w:rsidRPr="00926B74">
              <w:rPr>
                <w:rFonts w:ascii="Arial" w:eastAsia="Calibri" w:hAnsi="Arial" w:cs="Arial"/>
                <w:lang w:eastAsia="en-US"/>
              </w:rPr>
              <w:t xml:space="preserve"> przez uczestnika projektu oraz wykonawcę, zawierając</w:t>
            </w:r>
            <w:r w:rsidR="00707B39" w:rsidRPr="00926B74">
              <w:rPr>
                <w:rFonts w:ascii="Arial" w:eastAsia="Calibri" w:hAnsi="Arial" w:cs="Arial"/>
                <w:lang w:eastAsia="en-US"/>
              </w:rPr>
              <w:t>a</w:t>
            </w:r>
            <w:r w:rsidRPr="00926B74">
              <w:rPr>
                <w:rFonts w:ascii="Arial" w:eastAsia="Calibri" w:hAnsi="Arial" w:cs="Arial"/>
                <w:lang w:eastAsia="en-US"/>
              </w:rPr>
              <w:t xml:space="preserve"> liczbę godzin usługi</w:t>
            </w:r>
          </w:p>
          <w:p w:rsidR="00226771" w:rsidRPr="00926B74" w:rsidRDefault="00226771" w:rsidP="001266A1">
            <w:pPr>
              <w:pStyle w:val="Akapitzlist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30C4F" w:rsidRPr="003C5DBC" w:rsidTr="00AC6A5D">
        <w:tc>
          <w:tcPr>
            <w:tcW w:w="2529" w:type="dxa"/>
            <w:shd w:val="clear" w:color="auto" w:fill="FFFFFF"/>
            <w:vAlign w:val="center"/>
          </w:tcPr>
          <w:p w:rsidR="00830C4F" w:rsidRPr="00926B74" w:rsidRDefault="00830C4F" w:rsidP="003E54E2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 w:rsidRPr="00926B74">
              <w:rPr>
                <w:rFonts w:ascii="Arial" w:eastAsia="Calibri" w:hAnsi="Arial" w:cs="Arial"/>
                <w:lang w:eastAsia="en-US"/>
              </w:rPr>
              <w:t xml:space="preserve">inne </w:t>
            </w:r>
            <w:r w:rsidR="00DD52B8" w:rsidRPr="00926B74">
              <w:rPr>
                <w:rFonts w:ascii="Arial" w:eastAsia="Calibri" w:hAnsi="Arial" w:cs="Arial"/>
                <w:lang w:eastAsia="en-US"/>
              </w:rPr>
              <w:t xml:space="preserve">dozwolone </w:t>
            </w:r>
            <w:r w:rsidRPr="00926B74">
              <w:rPr>
                <w:rFonts w:ascii="Arial" w:eastAsia="Calibri" w:hAnsi="Arial" w:cs="Arial"/>
                <w:lang w:eastAsia="en-US"/>
              </w:rPr>
              <w:t>formy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926B74" w:rsidRPr="001266A1" w:rsidRDefault="0028654E" w:rsidP="001266A1">
            <w:pPr>
              <w:pStyle w:val="Akapitzlist"/>
              <w:numPr>
                <w:ilvl w:val="0"/>
                <w:numId w:val="39"/>
              </w:numPr>
              <w:ind w:left="601"/>
              <w:jc w:val="both"/>
              <w:rPr>
                <w:rFonts w:ascii="Arial" w:eastAsia="Calibri" w:hAnsi="Arial" w:cs="Arial"/>
                <w:lang w:eastAsia="en-US"/>
              </w:rPr>
            </w:pPr>
            <w:r w:rsidRPr="001266A1">
              <w:rPr>
                <w:rFonts w:ascii="Arial" w:eastAsia="Calibri" w:hAnsi="Arial" w:cs="Arial"/>
                <w:lang w:eastAsia="en-US"/>
              </w:rPr>
              <w:t xml:space="preserve">w przypadku bonów szkoleniowych / </w:t>
            </w:r>
            <w:r w:rsidR="00A879CE" w:rsidRPr="001266A1">
              <w:rPr>
                <w:rFonts w:ascii="Arial" w:eastAsia="Calibri" w:hAnsi="Arial" w:cs="Arial"/>
                <w:lang w:eastAsia="en-US"/>
              </w:rPr>
              <w:t xml:space="preserve">stażowych – dokumenty potwierdzające  </w:t>
            </w:r>
            <w:r w:rsidR="00707B39" w:rsidRPr="001266A1">
              <w:rPr>
                <w:rFonts w:ascii="Arial" w:eastAsia="Calibri" w:hAnsi="Arial" w:cs="Arial"/>
                <w:lang w:eastAsia="en-US"/>
              </w:rPr>
              <w:t>udzielenie danej formy</w:t>
            </w:r>
            <w:r w:rsidR="00A879CE" w:rsidRPr="001266A1">
              <w:rPr>
                <w:rFonts w:ascii="Arial" w:eastAsia="Calibri" w:hAnsi="Arial" w:cs="Arial"/>
                <w:lang w:eastAsia="en-US"/>
              </w:rPr>
              <w:t xml:space="preserve"> tożsame jak w </w:t>
            </w:r>
            <w:r w:rsidR="0031215A" w:rsidRPr="001266A1">
              <w:rPr>
                <w:rFonts w:ascii="Arial" w:eastAsia="Calibri" w:hAnsi="Arial" w:cs="Arial"/>
                <w:lang w:eastAsia="en-US"/>
              </w:rPr>
              <w:t>przypadku działań</w:t>
            </w:r>
            <w:r w:rsidR="00A879CE" w:rsidRPr="001266A1">
              <w:rPr>
                <w:rFonts w:ascii="Arial" w:eastAsia="Calibri" w:hAnsi="Arial" w:cs="Arial"/>
                <w:lang w:eastAsia="en-US"/>
              </w:rPr>
              <w:t xml:space="preserve"> szkolenia / staże</w:t>
            </w:r>
            <w:r w:rsidR="003C5DBC" w:rsidRPr="001266A1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226771" w:rsidRPr="001266A1" w:rsidRDefault="003C5DBC" w:rsidP="001266A1">
            <w:pPr>
              <w:pStyle w:val="Akapitzlist"/>
              <w:numPr>
                <w:ilvl w:val="0"/>
                <w:numId w:val="39"/>
              </w:numPr>
              <w:ind w:left="601"/>
              <w:jc w:val="both"/>
              <w:rPr>
                <w:rFonts w:ascii="Arial" w:eastAsia="Calibri" w:hAnsi="Arial" w:cs="Arial"/>
                <w:lang w:eastAsia="en-US"/>
              </w:rPr>
            </w:pPr>
            <w:r w:rsidRPr="001266A1">
              <w:rPr>
                <w:rFonts w:ascii="Arial" w:eastAsia="Calibri" w:hAnsi="Arial" w:cs="Arial"/>
                <w:lang w:eastAsia="en-US"/>
              </w:rPr>
              <w:t xml:space="preserve">w przypadku pozostałych form wsparcia </w:t>
            </w:r>
            <w:r w:rsidR="00820C49">
              <w:rPr>
                <w:rFonts w:ascii="Arial" w:eastAsia="Calibri" w:hAnsi="Arial" w:cs="Arial"/>
                <w:lang w:eastAsia="en-US"/>
              </w:rPr>
              <w:t>–</w:t>
            </w:r>
            <w:r w:rsidR="00A879CE" w:rsidRPr="001266A1">
              <w:rPr>
                <w:rFonts w:ascii="Arial" w:eastAsia="Calibri" w:hAnsi="Arial" w:cs="Arial"/>
                <w:lang w:eastAsia="en-US"/>
              </w:rPr>
              <w:t xml:space="preserve"> inne dokumenty </w:t>
            </w:r>
            <w:r w:rsidR="00707B39" w:rsidRPr="001266A1">
              <w:rPr>
                <w:rFonts w:ascii="Arial" w:eastAsia="Calibri" w:hAnsi="Arial" w:cs="Arial"/>
                <w:lang w:eastAsia="en-US"/>
              </w:rPr>
              <w:t>wskazane we wniosku o dofinansowanie</w:t>
            </w:r>
            <w:r w:rsidR="002B1C61" w:rsidRPr="001266A1">
              <w:rPr>
                <w:rFonts w:ascii="Arial" w:eastAsia="Calibri" w:hAnsi="Arial" w:cs="Arial"/>
                <w:lang w:eastAsia="en-US"/>
              </w:rPr>
              <w:t xml:space="preserve"> i realizowane na podstawie IPD (lub dokumentu równoważnego)</w:t>
            </w:r>
          </w:p>
          <w:p w:rsidR="00830C4F" w:rsidRPr="001266A1" w:rsidRDefault="00830C4F" w:rsidP="001266A1">
            <w:pPr>
              <w:pStyle w:val="Akapitzlist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2AAA" w:rsidRPr="0059327E" w:rsidTr="00320AA1">
        <w:tc>
          <w:tcPr>
            <w:tcW w:w="2529" w:type="dxa"/>
            <w:shd w:val="clear" w:color="auto" w:fill="FFFFFF"/>
            <w:vAlign w:val="center"/>
          </w:tcPr>
          <w:p w:rsidR="00102AAA" w:rsidRPr="00926B74" w:rsidRDefault="00102AAA" w:rsidP="007E5864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zatrudnienie / działalność gospodarcza 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102AAA" w:rsidRPr="0059327E" w:rsidRDefault="00102AAA" w:rsidP="00320AA1">
            <w:pPr>
              <w:jc w:val="both"/>
              <w:rPr>
                <w:rFonts w:eastAsia="Calibri"/>
                <w:lang w:eastAsia="en-US"/>
              </w:rPr>
            </w:pPr>
            <w:r w:rsidRPr="00244C1F">
              <w:rPr>
                <w:rFonts w:ascii="Arial" w:eastAsia="Calibri" w:hAnsi="Arial" w:cs="Arial"/>
                <w:lang w:eastAsia="en-US"/>
              </w:rPr>
              <w:t>Sposób pomiaru spełnienia kryterium efektywności za</w:t>
            </w:r>
            <w:r>
              <w:rPr>
                <w:rFonts w:ascii="Arial" w:eastAsia="Calibri" w:hAnsi="Arial" w:cs="Arial"/>
                <w:lang w:eastAsia="en-US"/>
              </w:rPr>
              <w:t xml:space="preserve">wodowej </w:t>
            </w:r>
            <w:r w:rsidRPr="00244C1F">
              <w:rPr>
                <w:rFonts w:ascii="Arial" w:eastAsia="Calibri" w:hAnsi="Arial" w:cs="Arial"/>
                <w:lang w:eastAsia="en-US"/>
              </w:rPr>
              <w:t xml:space="preserve">oraz dokumenty potwierdzające </w:t>
            </w:r>
            <w:r>
              <w:rPr>
                <w:rFonts w:ascii="Arial" w:eastAsia="Calibri" w:hAnsi="Arial" w:cs="Arial"/>
                <w:lang w:eastAsia="en-US"/>
              </w:rPr>
              <w:t>jej</w:t>
            </w:r>
            <w:r w:rsidRPr="00244C1F">
              <w:rPr>
                <w:rFonts w:ascii="Arial" w:eastAsia="Calibri" w:hAnsi="Arial" w:cs="Arial"/>
                <w:lang w:eastAsia="en-US"/>
              </w:rPr>
              <w:t xml:space="preserve"> spełnienie zostały określone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 w:rsidRPr="00244C1F">
              <w:rPr>
                <w:rFonts w:ascii="Arial" w:eastAsia="Calibri" w:hAnsi="Arial" w:cs="Arial"/>
                <w:lang w:eastAsia="en-US"/>
              </w:rPr>
              <w:t xml:space="preserve">w </w:t>
            </w:r>
            <w:r w:rsidRPr="00244C1F">
              <w:rPr>
                <w:rFonts w:ascii="Arial" w:eastAsia="Calibri" w:hAnsi="Arial" w:cs="Arial"/>
                <w:i/>
                <w:lang w:eastAsia="en-US"/>
              </w:rPr>
              <w:t>Wytycznych w zakresie realizacji przedsięwzięć z udziałem środków EFS w obszarze rynku pracy na lata 2014-2020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102AAA" w:rsidRPr="00244C1F" w:rsidTr="00320AA1">
        <w:tc>
          <w:tcPr>
            <w:tcW w:w="2529" w:type="dxa"/>
            <w:shd w:val="clear" w:color="auto" w:fill="FFFFFF"/>
            <w:vAlign w:val="center"/>
          </w:tcPr>
          <w:p w:rsidR="00102AAA" w:rsidRDefault="00102AAA" w:rsidP="007E5864">
            <w:pPr>
              <w:spacing w:after="12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poprawa sytuacji na rynku pracy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102AAA" w:rsidRPr="00244C1F" w:rsidRDefault="00102AAA" w:rsidP="00102AA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Sposób weryfikacji poprawy sytuacji na rynku pracy – zgodnie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z zasadami dotyczącymi pomiaru efektywności zatrudnieniowej określonych w </w:t>
            </w:r>
            <w:r w:rsidRPr="00244C1F">
              <w:rPr>
                <w:rFonts w:ascii="Arial" w:eastAsia="Calibri" w:hAnsi="Arial" w:cs="Arial"/>
                <w:i/>
                <w:lang w:eastAsia="en-US"/>
              </w:rPr>
              <w:t xml:space="preserve">Wytycznych w zakresie realizacji przedsięwzięć </w:t>
            </w:r>
            <w:r>
              <w:rPr>
                <w:rFonts w:ascii="Arial" w:eastAsia="Calibri" w:hAnsi="Arial" w:cs="Arial"/>
                <w:i/>
                <w:lang w:eastAsia="en-US"/>
              </w:rPr>
              <w:br/>
            </w:r>
            <w:r w:rsidRPr="00244C1F">
              <w:rPr>
                <w:rFonts w:ascii="Arial" w:eastAsia="Calibri" w:hAnsi="Arial" w:cs="Arial"/>
                <w:i/>
                <w:lang w:eastAsia="en-US"/>
              </w:rPr>
              <w:t>z udziałem środków EFS w obszarze rynku pracy na lata 2014-2020</w:t>
            </w:r>
            <w:r>
              <w:rPr>
                <w:rFonts w:ascii="Arial" w:eastAsia="Calibri" w:hAnsi="Arial" w:cs="Arial"/>
                <w:lang w:eastAsia="en-US"/>
              </w:rPr>
              <w:t xml:space="preserve"> na podstawie dokumentów wskazanych we wniosku o dofinasowanie lub regulaminie konkursu.</w:t>
            </w:r>
          </w:p>
        </w:tc>
      </w:tr>
    </w:tbl>
    <w:p w:rsidR="00F27AC9" w:rsidRDefault="00F27AC9" w:rsidP="00F539D7">
      <w:pPr>
        <w:spacing w:after="120"/>
        <w:outlineLvl w:val="0"/>
        <w:rPr>
          <w:rFonts w:ascii="Arial" w:hAnsi="Arial" w:cs="Arial"/>
        </w:rPr>
      </w:pPr>
    </w:p>
    <w:p w:rsidR="00393C9C" w:rsidRPr="00882E68" w:rsidRDefault="00393C9C" w:rsidP="00882E68">
      <w:pPr>
        <w:pStyle w:val="Akapitzlist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90" w:name="_Toc509822565"/>
      <w:bookmarkStart w:id="91" w:name="_Toc509905420"/>
      <w:bookmarkStart w:id="92" w:name="_Toc509905552"/>
      <w:bookmarkStart w:id="93" w:name="_Toc509905593"/>
      <w:bookmarkStart w:id="94" w:name="_Toc510000102"/>
      <w:bookmarkStart w:id="95" w:name="_Toc509822569"/>
      <w:bookmarkStart w:id="96" w:name="_Toc509905424"/>
      <w:bookmarkStart w:id="97" w:name="_Toc509905556"/>
      <w:bookmarkStart w:id="98" w:name="_Toc509905597"/>
      <w:bookmarkStart w:id="99" w:name="_Toc510000106"/>
      <w:bookmarkStart w:id="100" w:name="_Toc509822570"/>
      <w:bookmarkStart w:id="101" w:name="_Toc509905425"/>
      <w:bookmarkStart w:id="102" w:name="_Toc509905557"/>
      <w:bookmarkStart w:id="103" w:name="_Toc509905598"/>
      <w:bookmarkStart w:id="104" w:name="_Toc510000107"/>
      <w:bookmarkStart w:id="105" w:name="_Toc510100712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Pr="00882E68">
        <w:rPr>
          <w:rFonts w:ascii="Arial" w:hAnsi="Arial" w:cs="Arial"/>
          <w:b/>
        </w:rPr>
        <w:t>Opis ryzyka związanego z wprowadzeniem stawki jednostkowej</w:t>
      </w:r>
      <w:bookmarkEnd w:id="105"/>
    </w:p>
    <w:p w:rsidR="00830C4F" w:rsidRDefault="006B12B4" w:rsidP="001266A1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B12B4">
        <w:rPr>
          <w:rFonts w:ascii="Arial" w:hAnsi="Arial" w:cs="Arial"/>
        </w:rPr>
        <w:t xml:space="preserve">Największym identyfikowanym ryzykiem jest brak znajomości mechanizmu stawek jednostkowych przez beneficjentów, a przez to potencjalne obawy lub nawet niechęć do ich stosowania, a także niewłaściwe dokumentowanie oraz monitorowanie wydatków rozliczanych stawkami. Innym istotnym ryzykiem jest potencjalne zjawisko creamingu, a więc udzielania wsparcia "łatwiejszym" grupom docelowym oraz stosowanie przez beneficjentów tylko najtańszych form wsparcia, zamiast tych faktycznie potrzebnych danemu uczestnikowi. </w:t>
      </w:r>
    </w:p>
    <w:p w:rsidR="00A81368" w:rsidRDefault="00A81368" w:rsidP="00AC6A5D">
      <w:pPr>
        <w:pStyle w:val="Akapitzlist"/>
        <w:tabs>
          <w:tab w:val="left" w:pos="426"/>
        </w:tabs>
        <w:spacing w:after="120"/>
        <w:ind w:left="644"/>
        <w:jc w:val="both"/>
        <w:outlineLvl w:val="0"/>
        <w:rPr>
          <w:rFonts w:ascii="Arial" w:hAnsi="Arial" w:cs="Arial"/>
          <w:b/>
        </w:rPr>
      </w:pPr>
    </w:p>
    <w:p w:rsidR="007E1E7A" w:rsidRPr="00830C4F" w:rsidRDefault="00393C9C" w:rsidP="00882E68">
      <w:pPr>
        <w:pStyle w:val="Akapitzlist"/>
        <w:numPr>
          <w:ilvl w:val="0"/>
          <w:numId w:val="3"/>
        </w:numPr>
        <w:tabs>
          <w:tab w:val="left" w:pos="426"/>
        </w:tabs>
        <w:spacing w:after="120"/>
        <w:jc w:val="both"/>
        <w:outlineLvl w:val="0"/>
        <w:rPr>
          <w:rFonts w:ascii="Arial" w:hAnsi="Arial" w:cs="Arial"/>
          <w:b/>
        </w:rPr>
      </w:pPr>
      <w:bookmarkStart w:id="106" w:name="_Toc510100713"/>
      <w:r w:rsidRPr="00830C4F">
        <w:rPr>
          <w:rFonts w:ascii="Arial" w:hAnsi="Arial" w:cs="Arial"/>
          <w:b/>
        </w:rPr>
        <w:t xml:space="preserve">Indeksacja </w:t>
      </w:r>
      <w:r w:rsidR="001E2618" w:rsidRPr="00830C4F">
        <w:rPr>
          <w:rFonts w:ascii="Arial" w:hAnsi="Arial" w:cs="Arial"/>
          <w:b/>
        </w:rPr>
        <w:t>stawe</w:t>
      </w:r>
      <w:r w:rsidR="001E2618">
        <w:rPr>
          <w:rFonts w:ascii="Arial" w:hAnsi="Arial" w:cs="Arial"/>
          <w:b/>
        </w:rPr>
        <w:t>k</w:t>
      </w:r>
      <w:r w:rsidRPr="00830C4F">
        <w:rPr>
          <w:rFonts w:ascii="Arial" w:hAnsi="Arial" w:cs="Arial"/>
          <w:b/>
        </w:rPr>
        <w:t xml:space="preserve"> jednostkow</w:t>
      </w:r>
      <w:r w:rsidR="001E2618">
        <w:rPr>
          <w:rFonts w:ascii="Arial" w:hAnsi="Arial" w:cs="Arial"/>
          <w:b/>
        </w:rPr>
        <w:t>ych</w:t>
      </w:r>
      <w:bookmarkEnd w:id="106"/>
      <w:r w:rsidR="001E2618">
        <w:rPr>
          <w:rFonts w:ascii="Arial" w:hAnsi="Arial" w:cs="Arial"/>
          <w:b/>
        </w:rPr>
        <w:t xml:space="preserve"> </w:t>
      </w:r>
      <w:r w:rsidRPr="00830C4F">
        <w:rPr>
          <w:rFonts w:ascii="Arial" w:hAnsi="Arial" w:cs="Arial"/>
          <w:b/>
        </w:rPr>
        <w:t xml:space="preserve"> </w:t>
      </w:r>
      <w:r w:rsidR="0088536D" w:rsidRPr="00830C4F">
        <w:rPr>
          <w:rFonts w:ascii="Arial" w:hAnsi="Arial" w:cs="Arial"/>
          <w:b/>
        </w:rPr>
        <w:t xml:space="preserve"> </w:t>
      </w:r>
    </w:p>
    <w:p w:rsidR="00883FF2" w:rsidRPr="00A563FC" w:rsidRDefault="00883FF2" w:rsidP="00747243">
      <w:pPr>
        <w:spacing w:before="120" w:line="240" w:lineRule="exact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</w:rPr>
        <w:t xml:space="preserve">Stawki jednostkowe są ustalone na potrzeby pilotażu w województwie podlaskim </w:t>
      </w:r>
      <w:r w:rsidR="00747243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zachodniopomorskim i nie będą podlegać indeksacji. Konieczność indeksacji może się pojawić dopiero przy podjęciu decyzji o zastosowaniu stawek do kolejnych naborów w ramach Osi Priorytetowej 1 PO WER. </w:t>
      </w:r>
    </w:p>
    <w:p w:rsidR="002B7A28" w:rsidRPr="006114D3" w:rsidRDefault="002B7A28" w:rsidP="001266A1">
      <w:pPr>
        <w:spacing w:after="120"/>
        <w:jc w:val="both"/>
        <w:rPr>
          <w:rFonts w:ascii="Arial" w:hAnsi="Arial" w:cs="Arial"/>
        </w:rPr>
      </w:pPr>
    </w:p>
    <w:p w:rsidR="008F0284" w:rsidRPr="006114D3" w:rsidRDefault="008F0284" w:rsidP="00882E68">
      <w:pPr>
        <w:pStyle w:val="Nagwek1"/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</w:rPr>
      </w:pPr>
      <w:bookmarkStart w:id="107" w:name="_Toc510100714"/>
      <w:r w:rsidRPr="006114D3">
        <w:rPr>
          <w:rFonts w:ascii="Arial" w:hAnsi="Arial" w:cs="Arial"/>
          <w:sz w:val="20"/>
        </w:rPr>
        <w:t>Załączniki</w:t>
      </w:r>
      <w:bookmarkEnd w:id="107"/>
      <w:r w:rsidRPr="006114D3">
        <w:rPr>
          <w:rFonts w:ascii="Arial" w:hAnsi="Arial" w:cs="Arial"/>
          <w:sz w:val="20"/>
        </w:rPr>
        <w:t xml:space="preserve"> </w:t>
      </w:r>
    </w:p>
    <w:p w:rsidR="00F15DD1" w:rsidRPr="006114D3" w:rsidRDefault="007A0294" w:rsidP="001266A1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6114D3">
        <w:rPr>
          <w:rFonts w:ascii="Arial" w:hAnsi="Arial" w:cs="Arial"/>
        </w:rPr>
        <w:t>Raport z analizy kosztów aktywizacji zawodowej osób młodych w projektach PO KL 2007-2013  w celu opracowania stawek jednostkowych dotyczących aktywizacji zawodowej osób młodych w perspektywie finansowej 2014-2020 – wraz z załącznikami</w:t>
      </w:r>
    </w:p>
    <w:sectPr w:rsidR="00F15DD1" w:rsidRPr="006114D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FD" w:rsidRDefault="00405FFD" w:rsidP="00502B8A">
      <w:r>
        <w:separator/>
      </w:r>
    </w:p>
  </w:endnote>
  <w:endnote w:type="continuationSeparator" w:id="0">
    <w:p w:rsidR="00405FFD" w:rsidRDefault="00405FFD" w:rsidP="0050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Lt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799261"/>
      <w:docPartObj>
        <w:docPartGallery w:val="Page Numbers (Bottom of Page)"/>
        <w:docPartUnique/>
      </w:docPartObj>
    </w:sdtPr>
    <w:sdtEndPr/>
    <w:sdtContent>
      <w:p w:rsidR="00320AA1" w:rsidRDefault="00320AA1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F771F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320AA1" w:rsidRDefault="00320A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FD" w:rsidRDefault="00405FFD" w:rsidP="00502B8A">
      <w:r>
        <w:separator/>
      </w:r>
    </w:p>
  </w:footnote>
  <w:footnote w:type="continuationSeparator" w:id="0">
    <w:p w:rsidR="00405FFD" w:rsidRDefault="00405FFD" w:rsidP="00502B8A">
      <w:r>
        <w:continuationSeparator/>
      </w:r>
    </w:p>
  </w:footnote>
  <w:footnote w:id="1">
    <w:p w:rsidR="001A70EC" w:rsidRPr="001A70EC" w:rsidRDefault="001A70EC" w:rsidP="001A70E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A70EC">
        <w:rPr>
          <w:rStyle w:val="Odwoanieprzypisudolnego"/>
          <w:rFonts w:ascii="Arial" w:hAnsi="Arial" w:cs="Arial"/>
          <w:sz w:val="16"/>
          <w:szCs w:val="16"/>
        </w:rPr>
        <w:footnoteRef/>
      </w:r>
      <w:r w:rsidR="00154D84">
        <w:rPr>
          <w:rFonts w:ascii="Arial" w:hAnsi="Arial" w:cs="Arial"/>
          <w:sz w:val="16"/>
          <w:szCs w:val="16"/>
        </w:rPr>
        <w:t xml:space="preserve"> Stawka jednostkowa dotyczy zarówno aktywizacji zawodowej osób biernych zawodowo jak i bezrobotnych,</w:t>
      </w:r>
      <w:r w:rsidRPr="001A70EC">
        <w:rPr>
          <w:rFonts w:ascii="Arial" w:hAnsi="Arial" w:cs="Arial"/>
          <w:sz w:val="16"/>
          <w:szCs w:val="16"/>
        </w:rPr>
        <w:t xml:space="preserve"> o ile ich wsparcie zostało </w:t>
      </w:r>
      <w:r w:rsidR="00236665">
        <w:rPr>
          <w:rFonts w:ascii="Arial" w:hAnsi="Arial" w:cs="Arial"/>
          <w:sz w:val="16"/>
          <w:szCs w:val="16"/>
        </w:rPr>
        <w:t xml:space="preserve">wykluczone </w:t>
      </w:r>
      <w:r w:rsidRPr="001A70EC">
        <w:rPr>
          <w:rFonts w:ascii="Arial" w:hAnsi="Arial" w:cs="Arial"/>
          <w:sz w:val="16"/>
          <w:szCs w:val="16"/>
        </w:rPr>
        <w:t xml:space="preserve">w regulaminie naboru. </w:t>
      </w:r>
    </w:p>
  </w:footnote>
  <w:footnote w:id="2">
    <w:p w:rsidR="00320AA1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882E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2E6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Beneficjent wskazuje w szczegółowym budżecie projektu kalkulację wydatków przy uwzględnieniu stawki jednostkowej </w:t>
      </w:r>
      <w:r>
        <w:rPr>
          <w:rFonts w:ascii="Arial" w:hAnsi="Arial" w:cs="Arial"/>
          <w:sz w:val="16"/>
          <w:szCs w:val="16"/>
        </w:rPr>
        <w:br/>
        <w:t>w wysokości 100%, tj.</w:t>
      </w:r>
      <w:r w:rsidRPr="003C58EE">
        <w:rPr>
          <w:rFonts w:ascii="Arial" w:hAnsi="Arial" w:cs="Arial"/>
          <w:b/>
        </w:rPr>
        <w:t xml:space="preserve"> </w:t>
      </w:r>
      <w:r w:rsidRPr="00882E68">
        <w:rPr>
          <w:rFonts w:ascii="Arial" w:hAnsi="Arial" w:cs="Arial"/>
          <w:sz w:val="16"/>
          <w:szCs w:val="16"/>
        </w:rPr>
        <w:t>11 550 zł</w:t>
      </w:r>
      <w:r>
        <w:rPr>
          <w:rFonts w:ascii="Arial" w:hAnsi="Arial" w:cs="Arial"/>
          <w:sz w:val="16"/>
          <w:szCs w:val="16"/>
        </w:rPr>
        <w:t xml:space="preserve"> (w przypadku, gdy projekt dotyczy wsparcia 50 osób, kalkulacja w szczegółowym budżecie projektu będzie wyglądać następująco 50 osób * 11 550 zł). </w:t>
      </w:r>
    </w:p>
    <w:p w:rsidR="00320AA1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Dopiero na etapie rozliczania projektu, beneficjent we wniosku o płatność będzie wskazywał stawkę jednostkową w wysokości odpowiadającej liczbie osób:</w:t>
      </w:r>
    </w:p>
    <w:p w:rsidR="00320AA1" w:rsidRDefault="00320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 doprowadzonych do zatrudnienia zgodnie z kryterium efektywności zatrudnieniowej (x osób * 100% stawki jednostkowej), </w:t>
      </w:r>
    </w:p>
    <w:p w:rsidR="00320AA1" w:rsidRDefault="00320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 które otrzymały pełne wsparcie przewidziane w IPD, ale nie podjęły pracy</w:t>
      </w:r>
      <w:r w:rsidRPr="00DF0FE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zgodnie z kryterium efektywności zatrudnieniowej           (x osób * 90% stawki jednostkowej) oraz </w:t>
      </w:r>
    </w:p>
    <w:p w:rsidR="00320AA1" w:rsidRPr="00882E68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które w trakcie udzielania im wsparcia zostały zatrudnione na podstawie umowy o pracę zgodnie z kryterium efektywności zatrudnieniowej i uczestniczyły przynajmniej w jednej formie wsparcia wynikającej z IPD (x osób * 50% jednostkowej).  </w:t>
      </w:r>
    </w:p>
  </w:footnote>
  <w:footnote w:id="3">
    <w:p w:rsidR="00320AA1" w:rsidRPr="00AC6A5D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  <w:u w:val="single"/>
        </w:rPr>
      </w:pPr>
      <w:r w:rsidRPr="00882E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2E6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Pomiar kryterium efektywności zatrudnieniowej powin</w:t>
      </w:r>
      <w:r w:rsidRPr="0017331F">
        <w:rPr>
          <w:rFonts w:ascii="Arial" w:hAnsi="Arial" w:cs="Arial"/>
          <w:sz w:val="16"/>
          <w:szCs w:val="16"/>
        </w:rPr>
        <w:t xml:space="preserve">ien być dokonywany w sposób określony w </w:t>
      </w:r>
      <w:r w:rsidRPr="00320AA1">
        <w:rPr>
          <w:rFonts w:ascii="Arial" w:hAnsi="Arial" w:cs="Arial"/>
          <w:i/>
          <w:sz w:val="16"/>
          <w:szCs w:val="16"/>
        </w:rPr>
        <w:t xml:space="preserve">Wytycznych w zakresie </w:t>
      </w:r>
      <w:r w:rsidRPr="00320AA1">
        <w:rPr>
          <w:rFonts w:ascii="Arial" w:hAnsi="Arial" w:cs="Arial"/>
          <w:bCs/>
          <w:i/>
          <w:sz w:val="16"/>
          <w:szCs w:val="16"/>
        </w:rPr>
        <w:t>realizacji przedsięwzięć z udziałem środków EFS w obszarze rynku pracy na lata 2014-2020</w:t>
      </w:r>
      <w:r>
        <w:rPr>
          <w:rFonts w:ascii="Arial" w:hAnsi="Arial" w:cs="Arial"/>
          <w:bCs/>
          <w:i/>
          <w:sz w:val="16"/>
          <w:szCs w:val="16"/>
        </w:rPr>
        <w:t>.</w:t>
      </w:r>
      <w:r w:rsidRPr="00320AA1">
        <w:rPr>
          <w:rFonts w:ascii="Arial" w:hAnsi="Arial" w:cs="Arial"/>
          <w:bCs/>
          <w:i/>
          <w:sz w:val="16"/>
          <w:szCs w:val="16"/>
        </w:rPr>
        <w:t xml:space="preserve"> </w:t>
      </w:r>
    </w:p>
  </w:footnote>
  <w:footnote w:id="4">
    <w:p w:rsidR="00320AA1" w:rsidRPr="001266A1" w:rsidRDefault="00320AA1" w:rsidP="001266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266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6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1266A1">
        <w:rPr>
          <w:rFonts w:ascii="Arial" w:hAnsi="Arial" w:cs="Arial"/>
          <w:sz w:val="16"/>
          <w:szCs w:val="16"/>
        </w:rPr>
        <w:t xml:space="preserve">ależy </w:t>
      </w:r>
      <w:r>
        <w:rPr>
          <w:rFonts w:ascii="Arial" w:hAnsi="Arial" w:cs="Arial"/>
          <w:sz w:val="16"/>
          <w:szCs w:val="16"/>
        </w:rPr>
        <w:t xml:space="preserve">określić terminy składania wniosków o płatność w taki sposób, aby umożliwić beneficjentowi </w:t>
      </w:r>
      <w:r w:rsidRPr="001266A1">
        <w:rPr>
          <w:rFonts w:ascii="Arial" w:hAnsi="Arial" w:cs="Arial"/>
          <w:sz w:val="16"/>
          <w:szCs w:val="16"/>
        </w:rPr>
        <w:t>rozliczeni</w:t>
      </w:r>
      <w:r>
        <w:rPr>
          <w:rFonts w:ascii="Arial" w:hAnsi="Arial" w:cs="Arial"/>
          <w:sz w:val="16"/>
          <w:szCs w:val="16"/>
        </w:rPr>
        <w:t>e</w:t>
      </w:r>
      <w:r w:rsidRPr="00126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tych wnioskach </w:t>
      </w:r>
      <w:r w:rsidRPr="001266A1">
        <w:rPr>
          <w:rFonts w:ascii="Arial" w:hAnsi="Arial" w:cs="Arial"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>0</w:t>
      </w:r>
      <w:r w:rsidRPr="001266A1">
        <w:rPr>
          <w:rFonts w:ascii="Arial" w:hAnsi="Arial" w:cs="Arial"/>
          <w:sz w:val="16"/>
          <w:szCs w:val="16"/>
        </w:rPr>
        <w:t xml:space="preserve">% stawki </w:t>
      </w:r>
      <w:r>
        <w:rPr>
          <w:rFonts w:ascii="Arial" w:hAnsi="Arial" w:cs="Arial"/>
          <w:sz w:val="16"/>
          <w:szCs w:val="16"/>
        </w:rPr>
        <w:t xml:space="preserve">jednostkowej </w:t>
      </w:r>
      <w:r w:rsidRPr="001266A1">
        <w:rPr>
          <w:rFonts w:ascii="Arial" w:hAnsi="Arial" w:cs="Arial"/>
          <w:sz w:val="16"/>
          <w:szCs w:val="16"/>
        </w:rPr>
        <w:t>za doprowadzenie uczestnika do zatrudnienia</w:t>
      </w:r>
      <w:r>
        <w:rPr>
          <w:rFonts w:ascii="Arial" w:hAnsi="Arial" w:cs="Arial"/>
          <w:sz w:val="16"/>
          <w:szCs w:val="16"/>
        </w:rPr>
        <w:t xml:space="preserve">. W tym celu zasadne jest także </w:t>
      </w:r>
      <w:r w:rsidRPr="001266A1">
        <w:rPr>
          <w:rFonts w:ascii="Arial" w:hAnsi="Arial" w:cs="Arial"/>
          <w:sz w:val="16"/>
          <w:szCs w:val="16"/>
        </w:rPr>
        <w:t>umożliwi</w:t>
      </w:r>
      <w:r>
        <w:rPr>
          <w:rFonts w:ascii="Arial" w:hAnsi="Arial" w:cs="Arial"/>
          <w:sz w:val="16"/>
          <w:szCs w:val="16"/>
        </w:rPr>
        <w:t>enie z</w:t>
      </w:r>
      <w:r w:rsidRPr="001266A1">
        <w:rPr>
          <w:rFonts w:ascii="Arial" w:hAnsi="Arial" w:cs="Arial"/>
          <w:sz w:val="16"/>
          <w:szCs w:val="16"/>
        </w:rPr>
        <w:t xml:space="preserve">łożenie końcowego wniosku o płatność </w:t>
      </w:r>
      <w:r>
        <w:rPr>
          <w:rFonts w:ascii="Arial" w:hAnsi="Arial" w:cs="Arial"/>
          <w:sz w:val="16"/>
          <w:szCs w:val="16"/>
        </w:rPr>
        <w:t>do</w:t>
      </w:r>
      <w:r w:rsidRPr="001266A1">
        <w:rPr>
          <w:rFonts w:ascii="Arial" w:hAnsi="Arial" w:cs="Arial"/>
          <w:sz w:val="16"/>
          <w:szCs w:val="16"/>
        </w:rPr>
        <w:t xml:space="preserve"> 90 dni od zakończenia realizacji projektu.  </w:t>
      </w:r>
    </w:p>
  </w:footnote>
  <w:footnote w:id="5">
    <w:p w:rsidR="00320AA1" w:rsidRDefault="00320AA1" w:rsidP="00C42C58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882E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2E6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Beneficjent wskazuje w szczegółowym budżecie projektu kalkulację wydatków przy uwzględnieniu stawki jednostkowej </w:t>
      </w:r>
      <w:r>
        <w:rPr>
          <w:rFonts w:ascii="Arial" w:hAnsi="Arial" w:cs="Arial"/>
          <w:sz w:val="16"/>
          <w:szCs w:val="16"/>
        </w:rPr>
        <w:br/>
        <w:t>w wysokości 100%, tj.</w:t>
      </w:r>
      <w:r w:rsidRPr="003C58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9F1A4C">
        <w:rPr>
          <w:rFonts w:ascii="Arial" w:hAnsi="Arial" w:cs="Arial"/>
          <w:sz w:val="16"/>
          <w:szCs w:val="16"/>
        </w:rPr>
        <w:t xml:space="preserve">4 780 </w:t>
      </w:r>
      <w:r w:rsidRPr="00882E68">
        <w:rPr>
          <w:rFonts w:ascii="Arial" w:hAnsi="Arial" w:cs="Arial"/>
          <w:sz w:val="16"/>
          <w:szCs w:val="16"/>
        </w:rPr>
        <w:t>zł</w:t>
      </w:r>
      <w:r>
        <w:rPr>
          <w:rFonts w:ascii="Arial" w:hAnsi="Arial" w:cs="Arial"/>
          <w:sz w:val="16"/>
          <w:szCs w:val="16"/>
        </w:rPr>
        <w:t xml:space="preserve"> (w przypadku, gdy projekt dotyczy wsparcia 50 osób, kalkulacja w szczegółowym budżecie projektu będzie wyglądać następująco 50 osób * </w:t>
      </w:r>
      <w:r w:rsidR="009F1A4C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</w:t>
      </w:r>
      <w:r w:rsidR="009F1A4C">
        <w:rPr>
          <w:rFonts w:ascii="Arial" w:hAnsi="Arial" w:cs="Arial"/>
          <w:sz w:val="16"/>
          <w:szCs w:val="16"/>
        </w:rPr>
        <w:t>780</w:t>
      </w:r>
      <w:r>
        <w:rPr>
          <w:rFonts w:ascii="Arial" w:hAnsi="Arial" w:cs="Arial"/>
          <w:sz w:val="16"/>
          <w:szCs w:val="16"/>
        </w:rPr>
        <w:t xml:space="preserve"> zł). </w:t>
      </w:r>
    </w:p>
    <w:p w:rsidR="00320AA1" w:rsidRDefault="00320AA1" w:rsidP="00C42C58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Dopiero na etapie rozliczania projektu, beneficjent we wniosku o płatność będzie wskazywał stawkę jednostkową w wysokości odpowiadającej liczbie osób:</w:t>
      </w:r>
    </w:p>
    <w:p w:rsidR="00320AA1" w:rsidRDefault="00320AA1" w:rsidP="00DF0F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 które poprawiły swoją sytuację na rynku pracy zgodnie z kryterium efektywności zawodowej (x osób * 100% stawki jednostkowej),</w:t>
      </w:r>
    </w:p>
    <w:p w:rsidR="00320AA1" w:rsidRDefault="00320AA1" w:rsidP="00DF0F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które otrzymały pełne wsparcie przewidziane w IPD, ale nie poprawiły swojej sytuacji na rynku pracy</w:t>
      </w:r>
      <w:r w:rsidRPr="00A256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zgodnie z kryterium efektywności zawodowej (x osób * 90% stawki jednostkowej) oraz </w:t>
      </w:r>
    </w:p>
    <w:p w:rsidR="00320AA1" w:rsidRDefault="00320AA1" w:rsidP="00DF0F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które w trakcie udzielania im wsparcia poprawiły swoją sytuację na rynku pracy</w:t>
      </w:r>
      <w:r w:rsidRPr="00A256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zgodnie z kryterium efektywności zawodowej </w:t>
      </w:r>
      <w:r w:rsidR="00154D84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i uczestniczyły przynajmniej w jednej nieobligatoryjnej formie wsparcia wynikającej z IPD (x osób * 50% jednostkowej).    </w:t>
      </w:r>
    </w:p>
    <w:p w:rsidR="00320AA1" w:rsidRPr="00882E68" w:rsidRDefault="00320AA1" w:rsidP="00DF0FE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:rsidR="00320AA1" w:rsidRPr="00F67732" w:rsidRDefault="00320AA1" w:rsidP="006800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82E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2E6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Pomiar kryterium efektywności zawodowej powinien być dokonywany </w:t>
      </w:r>
      <w:r w:rsidRPr="00E666D9">
        <w:rPr>
          <w:rFonts w:ascii="Arial" w:hAnsi="Arial" w:cs="Arial"/>
          <w:sz w:val="16"/>
          <w:szCs w:val="16"/>
        </w:rPr>
        <w:t xml:space="preserve">w sposób </w:t>
      </w:r>
      <w:r w:rsidRPr="00F67732">
        <w:rPr>
          <w:rFonts w:ascii="Arial" w:hAnsi="Arial" w:cs="Arial"/>
          <w:sz w:val="16"/>
          <w:szCs w:val="16"/>
        </w:rPr>
        <w:t xml:space="preserve">określony w </w:t>
      </w:r>
      <w:r w:rsidRPr="00C42C58">
        <w:rPr>
          <w:rFonts w:ascii="Arial" w:hAnsi="Arial" w:cs="Arial"/>
          <w:i/>
          <w:sz w:val="16"/>
          <w:szCs w:val="16"/>
        </w:rPr>
        <w:t xml:space="preserve">Wytycznych w zakresie </w:t>
      </w:r>
      <w:r w:rsidRPr="00C42C58">
        <w:rPr>
          <w:rFonts w:ascii="Arial" w:hAnsi="Arial" w:cs="Arial"/>
          <w:bCs/>
          <w:i/>
          <w:sz w:val="16"/>
          <w:szCs w:val="16"/>
        </w:rPr>
        <w:t>realizacji przedsięwzięć z udziałem środków EFS w obszarze rynku pracy na lata 2014-2020</w:t>
      </w:r>
      <w:r>
        <w:rPr>
          <w:rFonts w:ascii="Arial" w:hAnsi="Arial" w:cs="Arial"/>
          <w:bCs/>
          <w:i/>
          <w:sz w:val="16"/>
          <w:szCs w:val="16"/>
        </w:rPr>
        <w:t>.</w:t>
      </w:r>
    </w:p>
    <w:p w:rsidR="00320AA1" w:rsidRPr="00AC6A5D" w:rsidRDefault="00320AA1" w:rsidP="0068005E">
      <w:pPr>
        <w:pStyle w:val="Tekstprzypisudolnego"/>
        <w:rPr>
          <w:rFonts w:ascii="Arial" w:hAnsi="Arial" w:cs="Arial"/>
          <w:sz w:val="16"/>
          <w:szCs w:val="16"/>
          <w:u w:val="single"/>
        </w:rPr>
      </w:pPr>
    </w:p>
  </w:footnote>
  <w:footnote w:id="7">
    <w:p w:rsidR="00320AA1" w:rsidRDefault="00320AA1" w:rsidP="006800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266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6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1266A1">
        <w:rPr>
          <w:rFonts w:ascii="Arial" w:hAnsi="Arial" w:cs="Arial"/>
          <w:sz w:val="16"/>
          <w:szCs w:val="16"/>
        </w:rPr>
        <w:t xml:space="preserve">ależy </w:t>
      </w:r>
      <w:r>
        <w:rPr>
          <w:rFonts w:ascii="Arial" w:hAnsi="Arial" w:cs="Arial"/>
          <w:sz w:val="16"/>
          <w:szCs w:val="16"/>
        </w:rPr>
        <w:t xml:space="preserve">określić terminy składania wniosków o płatność w taki sposób, aby umożliwić beneficjentowi </w:t>
      </w:r>
      <w:r w:rsidRPr="001266A1">
        <w:rPr>
          <w:rFonts w:ascii="Arial" w:hAnsi="Arial" w:cs="Arial"/>
          <w:sz w:val="16"/>
          <w:szCs w:val="16"/>
        </w:rPr>
        <w:t>rozliczeni</w:t>
      </w:r>
      <w:r>
        <w:rPr>
          <w:rFonts w:ascii="Arial" w:hAnsi="Arial" w:cs="Arial"/>
          <w:sz w:val="16"/>
          <w:szCs w:val="16"/>
        </w:rPr>
        <w:t>e</w:t>
      </w:r>
      <w:r w:rsidRPr="00126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tych wnioskach </w:t>
      </w:r>
      <w:r w:rsidRPr="001266A1">
        <w:rPr>
          <w:rFonts w:ascii="Arial" w:hAnsi="Arial" w:cs="Arial"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>0</w:t>
      </w:r>
      <w:r w:rsidRPr="001266A1">
        <w:rPr>
          <w:rFonts w:ascii="Arial" w:hAnsi="Arial" w:cs="Arial"/>
          <w:sz w:val="16"/>
          <w:szCs w:val="16"/>
        </w:rPr>
        <w:t xml:space="preserve">% stawki </w:t>
      </w:r>
      <w:r>
        <w:rPr>
          <w:rFonts w:ascii="Arial" w:hAnsi="Arial" w:cs="Arial"/>
          <w:sz w:val="16"/>
          <w:szCs w:val="16"/>
        </w:rPr>
        <w:t xml:space="preserve">jednostkowej za doprowadzenie do poprawy sytuacji uczestnika projektu na rynku pracy. W tym celu zasadne jest także </w:t>
      </w:r>
      <w:r w:rsidRPr="001266A1">
        <w:rPr>
          <w:rFonts w:ascii="Arial" w:hAnsi="Arial" w:cs="Arial"/>
          <w:sz w:val="16"/>
          <w:szCs w:val="16"/>
        </w:rPr>
        <w:t>umożliwi</w:t>
      </w:r>
      <w:r>
        <w:rPr>
          <w:rFonts w:ascii="Arial" w:hAnsi="Arial" w:cs="Arial"/>
          <w:sz w:val="16"/>
          <w:szCs w:val="16"/>
        </w:rPr>
        <w:t>enie z</w:t>
      </w:r>
      <w:r w:rsidRPr="001266A1">
        <w:rPr>
          <w:rFonts w:ascii="Arial" w:hAnsi="Arial" w:cs="Arial"/>
          <w:sz w:val="16"/>
          <w:szCs w:val="16"/>
        </w:rPr>
        <w:t xml:space="preserve">łożenie końcowego wniosku o płatność </w:t>
      </w:r>
      <w:r>
        <w:rPr>
          <w:rFonts w:ascii="Arial" w:hAnsi="Arial" w:cs="Arial"/>
          <w:sz w:val="16"/>
          <w:szCs w:val="16"/>
        </w:rPr>
        <w:t>do</w:t>
      </w:r>
      <w:r w:rsidRPr="001266A1">
        <w:rPr>
          <w:rFonts w:ascii="Arial" w:hAnsi="Arial" w:cs="Arial"/>
          <w:sz w:val="16"/>
          <w:szCs w:val="16"/>
        </w:rPr>
        <w:t xml:space="preserve"> 90 dni od zakończenia realizacji projektu. </w:t>
      </w:r>
    </w:p>
    <w:p w:rsidR="00320AA1" w:rsidRPr="001266A1" w:rsidRDefault="00320AA1" w:rsidP="006800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266A1">
        <w:rPr>
          <w:rFonts w:ascii="Arial" w:hAnsi="Arial" w:cs="Arial"/>
          <w:sz w:val="16"/>
          <w:szCs w:val="16"/>
        </w:rPr>
        <w:t xml:space="preserve"> </w:t>
      </w:r>
    </w:p>
  </w:footnote>
  <w:footnote w:id="8">
    <w:p w:rsidR="00320AA1" w:rsidRPr="00320AA1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320A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0A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części merytorycznej wniosku o dofinansowanie projektu dla </w:t>
      </w:r>
      <w:r w:rsidRPr="00320AA1">
        <w:rPr>
          <w:rFonts w:ascii="Arial" w:hAnsi="Arial" w:cs="Arial"/>
          <w:sz w:val="16"/>
          <w:szCs w:val="16"/>
        </w:rPr>
        <w:t xml:space="preserve">wskaźnika </w:t>
      </w:r>
      <w:r w:rsidRPr="00320AA1">
        <w:rPr>
          <w:rFonts w:ascii="Arial" w:hAnsi="Arial" w:cs="Arial"/>
          <w:i/>
          <w:sz w:val="16"/>
          <w:szCs w:val="16"/>
        </w:rPr>
        <w:t>Liczba uczestników projektu objętych kompleksowym wsparciem aktywizacji zawodowej doprowadzonych do zatrudnienia</w:t>
      </w:r>
      <w:r w:rsidRPr="00320A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należy wskazać </w:t>
      </w:r>
      <w:r w:rsidRPr="00320AA1">
        <w:rPr>
          <w:rFonts w:ascii="Arial" w:hAnsi="Arial" w:cs="Arial"/>
          <w:sz w:val="16"/>
          <w:szCs w:val="16"/>
        </w:rPr>
        <w:t xml:space="preserve">100% </w:t>
      </w:r>
      <w:r>
        <w:rPr>
          <w:rFonts w:ascii="Arial" w:hAnsi="Arial" w:cs="Arial"/>
          <w:sz w:val="16"/>
          <w:szCs w:val="16"/>
        </w:rPr>
        <w:t xml:space="preserve">osób </w:t>
      </w:r>
      <w:r w:rsidR="00154D84">
        <w:rPr>
          <w:rFonts w:ascii="Arial" w:hAnsi="Arial" w:cs="Arial"/>
          <w:sz w:val="16"/>
          <w:szCs w:val="16"/>
        </w:rPr>
        <w:t xml:space="preserve">niepracujących </w:t>
      </w:r>
      <w:r>
        <w:rPr>
          <w:rFonts w:ascii="Arial" w:hAnsi="Arial" w:cs="Arial"/>
          <w:sz w:val="16"/>
          <w:szCs w:val="16"/>
        </w:rPr>
        <w:t xml:space="preserve">planowanych do </w:t>
      </w:r>
      <w:r w:rsidRPr="00320AA1">
        <w:rPr>
          <w:rFonts w:ascii="Arial" w:hAnsi="Arial" w:cs="Arial"/>
          <w:sz w:val="16"/>
          <w:szCs w:val="16"/>
        </w:rPr>
        <w:t>obję</w:t>
      </w:r>
      <w:r>
        <w:rPr>
          <w:rFonts w:ascii="Arial" w:hAnsi="Arial" w:cs="Arial"/>
          <w:sz w:val="16"/>
          <w:szCs w:val="16"/>
        </w:rPr>
        <w:t xml:space="preserve">cia </w:t>
      </w:r>
      <w:r w:rsidRPr="00320AA1">
        <w:rPr>
          <w:rFonts w:ascii="Arial" w:hAnsi="Arial" w:cs="Arial"/>
          <w:sz w:val="16"/>
          <w:szCs w:val="16"/>
        </w:rPr>
        <w:t xml:space="preserve">wsparciem w ramach projektu. </w:t>
      </w:r>
      <w:r>
        <w:rPr>
          <w:rFonts w:ascii="Arial" w:hAnsi="Arial" w:cs="Arial"/>
          <w:sz w:val="16"/>
          <w:szCs w:val="16"/>
        </w:rPr>
        <w:t>W</w:t>
      </w:r>
      <w:r w:rsidRPr="00AA6206">
        <w:rPr>
          <w:rFonts w:ascii="Arial" w:hAnsi="Arial" w:cs="Arial"/>
          <w:sz w:val="16"/>
          <w:szCs w:val="16"/>
        </w:rPr>
        <w:t xml:space="preserve">artość docelową </w:t>
      </w:r>
      <w:r>
        <w:rPr>
          <w:rFonts w:ascii="Arial" w:hAnsi="Arial" w:cs="Arial"/>
          <w:sz w:val="16"/>
          <w:szCs w:val="16"/>
        </w:rPr>
        <w:t>p</w:t>
      </w:r>
      <w:r w:rsidRPr="00320AA1">
        <w:rPr>
          <w:rFonts w:ascii="Arial" w:hAnsi="Arial" w:cs="Arial"/>
          <w:sz w:val="16"/>
          <w:szCs w:val="16"/>
        </w:rPr>
        <w:t>ozostał</w:t>
      </w:r>
      <w:r>
        <w:rPr>
          <w:rFonts w:ascii="Arial" w:hAnsi="Arial" w:cs="Arial"/>
          <w:sz w:val="16"/>
          <w:szCs w:val="16"/>
        </w:rPr>
        <w:t xml:space="preserve">ych </w:t>
      </w:r>
      <w:r w:rsidRPr="00320AA1">
        <w:rPr>
          <w:rFonts w:ascii="Arial" w:hAnsi="Arial" w:cs="Arial"/>
          <w:sz w:val="16"/>
          <w:szCs w:val="16"/>
        </w:rPr>
        <w:t>wskaźnik</w:t>
      </w:r>
      <w:r>
        <w:rPr>
          <w:rFonts w:ascii="Arial" w:hAnsi="Arial" w:cs="Arial"/>
          <w:sz w:val="16"/>
          <w:szCs w:val="16"/>
        </w:rPr>
        <w:t>ów, tj.</w:t>
      </w:r>
      <w:r w:rsidRPr="00320AA1">
        <w:rPr>
          <w:rFonts w:ascii="Arial" w:hAnsi="Arial" w:cs="Arial"/>
          <w:sz w:val="16"/>
          <w:szCs w:val="16"/>
        </w:rPr>
        <w:t xml:space="preserve"> </w:t>
      </w:r>
      <w:r w:rsidRPr="00320AA1">
        <w:rPr>
          <w:rFonts w:ascii="Arial" w:hAnsi="Arial" w:cs="Arial"/>
          <w:i/>
          <w:sz w:val="16"/>
          <w:szCs w:val="16"/>
        </w:rPr>
        <w:t>Liczba uczestników projektu objętych kompleksowym wsparciem aktywizacji zawodowej</w:t>
      </w:r>
      <w:r w:rsidRPr="00320AA1">
        <w:rPr>
          <w:rFonts w:ascii="Arial" w:hAnsi="Arial" w:cs="Arial"/>
          <w:sz w:val="16"/>
          <w:szCs w:val="16"/>
        </w:rPr>
        <w:t xml:space="preserve"> oraz </w:t>
      </w:r>
      <w:r w:rsidRPr="00320AA1">
        <w:rPr>
          <w:rFonts w:ascii="Arial" w:hAnsi="Arial" w:cs="Arial"/>
          <w:i/>
          <w:sz w:val="16"/>
          <w:szCs w:val="16"/>
        </w:rPr>
        <w:t>Liczba uczestników projektu objętych wsparciem aktywizacji zawodowej</w:t>
      </w:r>
      <w:r>
        <w:rPr>
          <w:rFonts w:ascii="Arial" w:hAnsi="Arial" w:cs="Arial"/>
          <w:sz w:val="16"/>
          <w:szCs w:val="16"/>
        </w:rPr>
        <w:t xml:space="preserve">, </w:t>
      </w:r>
      <w:r w:rsidRPr="00320AA1">
        <w:rPr>
          <w:rFonts w:ascii="Arial" w:hAnsi="Arial" w:cs="Arial"/>
          <w:i/>
          <w:sz w:val="16"/>
          <w:szCs w:val="16"/>
        </w:rPr>
        <w:t>którzy opuścili projekt</w:t>
      </w:r>
      <w:r>
        <w:rPr>
          <w:rFonts w:ascii="Arial" w:hAnsi="Arial" w:cs="Arial"/>
          <w:i/>
          <w:sz w:val="16"/>
          <w:szCs w:val="16"/>
        </w:rPr>
        <w:t xml:space="preserve"> w związku z podjęciem zatrudnienia,</w:t>
      </w:r>
      <w:r w:rsidRPr="00320A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należy określić </w:t>
      </w:r>
      <w:r w:rsidRPr="00320AA1">
        <w:rPr>
          <w:rFonts w:ascii="Arial" w:hAnsi="Arial" w:cs="Arial"/>
          <w:sz w:val="16"/>
          <w:szCs w:val="16"/>
        </w:rPr>
        <w:t>na poziomie „0”. Wszystkie wskaźniki podlegać będą monitorowaniu podczas realizacji projektu, tj. beneficjent zgodnie z wykazywanym postępem rzeczowym będzie aktualizował dane w obrębie tych trzech wskaźników</w:t>
      </w:r>
      <w:r>
        <w:rPr>
          <w:rFonts w:ascii="Arial" w:hAnsi="Arial" w:cs="Arial"/>
          <w:sz w:val="16"/>
          <w:szCs w:val="16"/>
        </w:rPr>
        <w:t>.</w:t>
      </w:r>
      <w:r w:rsidRPr="00320A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320AA1">
        <w:rPr>
          <w:rFonts w:ascii="Arial" w:hAnsi="Arial" w:cs="Arial"/>
          <w:sz w:val="16"/>
          <w:szCs w:val="16"/>
        </w:rPr>
        <w:t xml:space="preserve">a etapie końcowego rozliczenia </w:t>
      </w:r>
      <w:r>
        <w:rPr>
          <w:rFonts w:ascii="Arial" w:hAnsi="Arial" w:cs="Arial"/>
          <w:sz w:val="16"/>
          <w:szCs w:val="16"/>
        </w:rPr>
        <w:t>projektu, na podstawie</w:t>
      </w:r>
      <w:r w:rsidRPr="00320AA1">
        <w:rPr>
          <w:rFonts w:ascii="Arial" w:hAnsi="Arial" w:cs="Arial"/>
          <w:sz w:val="16"/>
          <w:szCs w:val="16"/>
        </w:rPr>
        <w:t xml:space="preserve"> osiągniętych rzeczywistych wartości wskaźników IP dokona kwalifikowania wydatków na właściwym poziomie.</w:t>
      </w:r>
    </w:p>
    <w:p w:rsidR="00320AA1" w:rsidRPr="00320AA1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320AA1">
        <w:rPr>
          <w:rFonts w:ascii="Arial" w:hAnsi="Arial" w:cs="Arial"/>
          <w:sz w:val="16"/>
          <w:szCs w:val="16"/>
        </w:rPr>
        <w:t xml:space="preserve">Brak osiągnięcia wskazanej we wniosku o dofinansowanie 100% wartości wskaźnika </w:t>
      </w:r>
      <w:r w:rsidRPr="00320AA1">
        <w:rPr>
          <w:rFonts w:ascii="Arial" w:hAnsi="Arial" w:cs="Arial"/>
          <w:i/>
          <w:sz w:val="16"/>
          <w:szCs w:val="16"/>
        </w:rPr>
        <w:t xml:space="preserve">Liczba uczestników projektu objętych kompleksowym wsparciem aktywizacji zawodowej doprowadzonych do zatrudnienia </w:t>
      </w:r>
      <w:r w:rsidRPr="00320AA1">
        <w:rPr>
          <w:rFonts w:ascii="Arial" w:hAnsi="Arial" w:cs="Arial"/>
          <w:sz w:val="16"/>
          <w:szCs w:val="16"/>
        </w:rPr>
        <w:t xml:space="preserve">nie wiąże się z koniecznością stosowania reguły proporcjonalności. </w:t>
      </w:r>
    </w:p>
  </w:footnote>
  <w:footnote w:id="9">
    <w:p w:rsidR="00320AA1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320A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0AA1">
        <w:rPr>
          <w:rFonts w:ascii="Arial" w:hAnsi="Arial" w:cs="Arial"/>
          <w:sz w:val="16"/>
          <w:szCs w:val="16"/>
        </w:rPr>
        <w:t xml:space="preserve"> Sposób wykazywania wskaźników we wniosku o dofinansowanie, ich monitorowania i rozliczania projektu </w:t>
      </w:r>
      <w:r>
        <w:rPr>
          <w:rFonts w:ascii="Arial" w:hAnsi="Arial" w:cs="Arial"/>
          <w:sz w:val="16"/>
          <w:szCs w:val="16"/>
        </w:rPr>
        <w:t xml:space="preserve">jest </w:t>
      </w:r>
      <w:r w:rsidRPr="00320AA1">
        <w:rPr>
          <w:rFonts w:ascii="Arial" w:hAnsi="Arial" w:cs="Arial"/>
          <w:sz w:val="16"/>
          <w:szCs w:val="16"/>
        </w:rPr>
        <w:t>analogiczny do sposobu przedstawionego w przypisie</w:t>
      </w:r>
      <w:r>
        <w:rPr>
          <w:rFonts w:ascii="Arial" w:hAnsi="Arial" w:cs="Arial"/>
          <w:sz w:val="16"/>
          <w:szCs w:val="16"/>
        </w:rPr>
        <w:t xml:space="preserve"> nr</w:t>
      </w:r>
      <w:r w:rsidRPr="00320AA1">
        <w:rPr>
          <w:rFonts w:ascii="Arial" w:hAnsi="Arial" w:cs="Arial"/>
          <w:sz w:val="16"/>
          <w:szCs w:val="16"/>
        </w:rPr>
        <w:t xml:space="preserve"> 7.</w:t>
      </w:r>
      <w:r>
        <w:rPr>
          <w:rFonts w:ascii="Arial" w:hAnsi="Arial" w:cs="Arial"/>
          <w:sz w:val="16"/>
          <w:szCs w:val="16"/>
        </w:rPr>
        <w:t xml:space="preserve"> </w:t>
      </w:r>
    </w:p>
    <w:p w:rsidR="00320AA1" w:rsidRPr="00AA6206" w:rsidRDefault="00320AA1" w:rsidP="00320AA1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AA6206">
        <w:rPr>
          <w:rFonts w:ascii="Arial" w:hAnsi="Arial" w:cs="Arial"/>
          <w:sz w:val="16"/>
          <w:szCs w:val="16"/>
        </w:rPr>
        <w:t xml:space="preserve">Brak osiągnięcia wskazanej we wniosku o dofinansowanie 100% wartości wskaźnika </w:t>
      </w:r>
      <w:r w:rsidRPr="00320AA1">
        <w:rPr>
          <w:rFonts w:ascii="Arial" w:hAnsi="Arial" w:cs="Arial"/>
          <w:i/>
          <w:sz w:val="16"/>
          <w:szCs w:val="16"/>
        </w:rPr>
        <w:t>L</w:t>
      </w:r>
      <w:r w:rsidRPr="00AA6D4D">
        <w:rPr>
          <w:rFonts w:ascii="Arial" w:hAnsi="Arial" w:cs="Arial"/>
          <w:i/>
          <w:sz w:val="16"/>
          <w:szCs w:val="16"/>
        </w:rPr>
        <w:t>iczba</w:t>
      </w:r>
      <w:r w:rsidRPr="007E5864">
        <w:rPr>
          <w:rFonts w:ascii="Arial" w:hAnsi="Arial" w:cs="Arial"/>
          <w:i/>
          <w:sz w:val="16"/>
          <w:szCs w:val="16"/>
        </w:rPr>
        <w:t xml:space="preserve"> uczestników projektu objętych kompleksowym wsparciem, których sytuacja na rynku pracy uległa poprawie</w:t>
      </w:r>
      <w:r w:rsidRPr="00AA6206">
        <w:rPr>
          <w:rFonts w:ascii="Arial" w:hAnsi="Arial" w:cs="Arial"/>
          <w:i/>
          <w:sz w:val="16"/>
          <w:szCs w:val="16"/>
        </w:rPr>
        <w:t xml:space="preserve"> </w:t>
      </w:r>
      <w:r w:rsidRPr="00AA6206">
        <w:rPr>
          <w:rFonts w:ascii="Arial" w:hAnsi="Arial" w:cs="Arial"/>
          <w:sz w:val="16"/>
          <w:szCs w:val="16"/>
        </w:rPr>
        <w:t xml:space="preserve">nie wiąże się z koniecznością stosowania reguły proporcjonalności. </w:t>
      </w:r>
    </w:p>
    <w:p w:rsidR="00320AA1" w:rsidRDefault="00320AA1" w:rsidP="00C42C58">
      <w:pPr>
        <w:pStyle w:val="Tekstprzypisudolnego"/>
        <w:jc w:val="both"/>
      </w:pPr>
    </w:p>
  </w:footnote>
  <w:footnote w:id="10">
    <w:p w:rsidR="00320AA1" w:rsidRPr="00B8640E" w:rsidRDefault="00320AA1" w:rsidP="007472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8640E">
        <w:rPr>
          <w:rFonts w:ascii="Arial" w:hAnsi="Arial" w:cs="Arial"/>
          <w:sz w:val="16"/>
          <w:szCs w:val="16"/>
        </w:rPr>
        <w:t xml:space="preserve">W tabeli zawarto minimalne wymogi dotyczące dokumentów potwierdzających udzielenie danej formy wsparcia. </w:t>
      </w:r>
      <w:r>
        <w:rPr>
          <w:rFonts w:ascii="Arial" w:hAnsi="Arial" w:cs="Arial"/>
          <w:sz w:val="16"/>
          <w:szCs w:val="16"/>
        </w:rPr>
        <w:t>B</w:t>
      </w:r>
      <w:r w:rsidRPr="00B8640E">
        <w:rPr>
          <w:rFonts w:ascii="Arial" w:hAnsi="Arial" w:cs="Arial"/>
          <w:sz w:val="16"/>
          <w:szCs w:val="16"/>
        </w:rPr>
        <w:t xml:space="preserve">eneficjent zobowiązany jest do potwierdzenia wykonania działań w projekcie </w:t>
      </w:r>
      <w:r>
        <w:rPr>
          <w:rFonts w:ascii="Arial" w:hAnsi="Arial" w:cs="Arial"/>
          <w:sz w:val="16"/>
          <w:szCs w:val="16"/>
        </w:rPr>
        <w:t xml:space="preserve">poprzez zgromadzenie </w:t>
      </w:r>
      <w:r w:rsidRPr="00B8640E">
        <w:rPr>
          <w:rFonts w:ascii="Arial" w:hAnsi="Arial" w:cs="Arial"/>
          <w:sz w:val="16"/>
          <w:szCs w:val="16"/>
        </w:rPr>
        <w:t>dokumentacj</w:t>
      </w:r>
      <w:r>
        <w:rPr>
          <w:rFonts w:ascii="Arial" w:hAnsi="Arial" w:cs="Arial"/>
          <w:sz w:val="16"/>
          <w:szCs w:val="16"/>
        </w:rPr>
        <w:t>i</w:t>
      </w:r>
      <w:r w:rsidRPr="00B8640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wskazanej </w:t>
      </w:r>
      <w:r w:rsidRPr="00B8640E">
        <w:rPr>
          <w:rFonts w:ascii="Arial" w:hAnsi="Arial" w:cs="Arial"/>
          <w:sz w:val="16"/>
          <w:szCs w:val="16"/>
        </w:rPr>
        <w:t xml:space="preserve">przez niego we wniosku o dofinansowanie.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125"/>
    <w:multiLevelType w:val="hybridMultilevel"/>
    <w:tmpl w:val="787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5FE0"/>
    <w:multiLevelType w:val="hybridMultilevel"/>
    <w:tmpl w:val="A65CC18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98F7558"/>
    <w:multiLevelType w:val="hybridMultilevel"/>
    <w:tmpl w:val="0BD89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41EFDB2">
      <w:start w:val="1"/>
      <w:numFmt w:val="bullet"/>
      <w:lvlText w:val="-"/>
      <w:lvlJc w:val="left"/>
      <w:pPr>
        <w:ind w:left="1440" w:hanging="360"/>
      </w:pPr>
      <w:rPr>
        <w:rFonts w:ascii="Humnst777LtPL" w:hAnsi="Humnst777LtP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2479D"/>
    <w:multiLevelType w:val="hybridMultilevel"/>
    <w:tmpl w:val="1950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51564"/>
    <w:multiLevelType w:val="hybridMultilevel"/>
    <w:tmpl w:val="87B47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56283"/>
    <w:multiLevelType w:val="hybridMultilevel"/>
    <w:tmpl w:val="874C0098"/>
    <w:lvl w:ilvl="0" w:tplc="FF54ED2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F851F0"/>
    <w:multiLevelType w:val="hybridMultilevel"/>
    <w:tmpl w:val="053ABF6C"/>
    <w:lvl w:ilvl="0" w:tplc="4F864A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FC4A20"/>
    <w:multiLevelType w:val="hybridMultilevel"/>
    <w:tmpl w:val="CA1AF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93164"/>
    <w:multiLevelType w:val="hybridMultilevel"/>
    <w:tmpl w:val="EEF23BAC"/>
    <w:lvl w:ilvl="0" w:tplc="7B8290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06B84C">
      <w:start w:val="1"/>
      <w:numFmt w:val="decimal"/>
      <w:lvlText w:val="%3."/>
      <w:lvlJc w:val="left"/>
      <w:pPr>
        <w:ind w:left="2657" w:hanging="67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B2C4F"/>
    <w:multiLevelType w:val="hybridMultilevel"/>
    <w:tmpl w:val="E2A44892"/>
    <w:lvl w:ilvl="0" w:tplc="856CDEE2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strike w:val="0"/>
        <w:sz w:val="24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0639D7"/>
    <w:multiLevelType w:val="hybridMultilevel"/>
    <w:tmpl w:val="F76A4268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>
    <w:nsid w:val="214620A1"/>
    <w:multiLevelType w:val="hybridMultilevel"/>
    <w:tmpl w:val="D056208E"/>
    <w:lvl w:ilvl="0" w:tplc="D856EAC8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000735"/>
    <w:multiLevelType w:val="hybridMultilevel"/>
    <w:tmpl w:val="42CC03FE"/>
    <w:lvl w:ilvl="0" w:tplc="D856EAC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95796F"/>
    <w:multiLevelType w:val="hybridMultilevel"/>
    <w:tmpl w:val="DFBA5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804D5"/>
    <w:multiLevelType w:val="hybridMultilevel"/>
    <w:tmpl w:val="E1588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85A36"/>
    <w:multiLevelType w:val="hybridMultilevel"/>
    <w:tmpl w:val="EEF23BAC"/>
    <w:lvl w:ilvl="0" w:tplc="7B8290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06B84C">
      <w:start w:val="1"/>
      <w:numFmt w:val="decimal"/>
      <w:lvlText w:val="%3."/>
      <w:lvlJc w:val="left"/>
      <w:pPr>
        <w:ind w:left="2657" w:hanging="67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521D2"/>
    <w:multiLevelType w:val="hybridMultilevel"/>
    <w:tmpl w:val="5EDCB33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>
    <w:nsid w:val="2F144559"/>
    <w:multiLevelType w:val="hybridMultilevel"/>
    <w:tmpl w:val="8FB6C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1EFDB2">
      <w:start w:val="1"/>
      <w:numFmt w:val="bullet"/>
      <w:lvlText w:val="-"/>
      <w:lvlJc w:val="left"/>
      <w:pPr>
        <w:ind w:left="1080" w:hanging="360"/>
      </w:pPr>
      <w:rPr>
        <w:rFonts w:ascii="Humnst777LtPL" w:hAnsi="Humnst777LtP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A9662B"/>
    <w:multiLevelType w:val="hybridMultilevel"/>
    <w:tmpl w:val="964C4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52AFC"/>
    <w:multiLevelType w:val="hybridMultilevel"/>
    <w:tmpl w:val="F0EE9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D0851"/>
    <w:multiLevelType w:val="hybridMultilevel"/>
    <w:tmpl w:val="5256349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>
    <w:nsid w:val="3FAF5278"/>
    <w:multiLevelType w:val="hybridMultilevel"/>
    <w:tmpl w:val="2892D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35317"/>
    <w:multiLevelType w:val="hybridMultilevel"/>
    <w:tmpl w:val="C6042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E56D91"/>
    <w:multiLevelType w:val="hybridMultilevel"/>
    <w:tmpl w:val="D45E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5361B"/>
    <w:multiLevelType w:val="multilevel"/>
    <w:tmpl w:val="D0B094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48E82353"/>
    <w:multiLevelType w:val="hybridMultilevel"/>
    <w:tmpl w:val="AC7EE0BC"/>
    <w:lvl w:ilvl="0" w:tplc="521A3E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F33BF"/>
    <w:multiLevelType w:val="hybridMultilevel"/>
    <w:tmpl w:val="0BBA2430"/>
    <w:lvl w:ilvl="0" w:tplc="4F864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D4481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E61B9"/>
    <w:multiLevelType w:val="hybridMultilevel"/>
    <w:tmpl w:val="8D1012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FA524D5"/>
    <w:multiLevelType w:val="hybridMultilevel"/>
    <w:tmpl w:val="1BB8C558"/>
    <w:lvl w:ilvl="0" w:tplc="DC6EE934">
      <w:start w:val="1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9">
    <w:nsid w:val="51974DC7"/>
    <w:multiLevelType w:val="hybridMultilevel"/>
    <w:tmpl w:val="D07A4E44"/>
    <w:lvl w:ilvl="0" w:tplc="EC90E0A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48388C"/>
    <w:multiLevelType w:val="hybridMultilevel"/>
    <w:tmpl w:val="C2B4F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C4818"/>
    <w:multiLevelType w:val="hybridMultilevel"/>
    <w:tmpl w:val="6A500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9079D6"/>
    <w:multiLevelType w:val="hybridMultilevel"/>
    <w:tmpl w:val="8F36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4411B"/>
    <w:multiLevelType w:val="hybridMultilevel"/>
    <w:tmpl w:val="B8644B50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4">
    <w:nsid w:val="64A60CD9"/>
    <w:multiLevelType w:val="hybridMultilevel"/>
    <w:tmpl w:val="D2CEC5DE"/>
    <w:lvl w:ilvl="0" w:tplc="4F864A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0D4481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F75FA"/>
    <w:multiLevelType w:val="hybridMultilevel"/>
    <w:tmpl w:val="769A9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B656E1"/>
    <w:multiLevelType w:val="hybridMultilevel"/>
    <w:tmpl w:val="DE0E3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05FF8"/>
    <w:multiLevelType w:val="hybridMultilevel"/>
    <w:tmpl w:val="D2CEC5DE"/>
    <w:lvl w:ilvl="0" w:tplc="4F864A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0D4481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0A1B7B"/>
    <w:multiLevelType w:val="hybridMultilevel"/>
    <w:tmpl w:val="F7F658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99831CC"/>
    <w:multiLevelType w:val="hybridMultilevel"/>
    <w:tmpl w:val="287A2E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6A091728"/>
    <w:multiLevelType w:val="hybridMultilevel"/>
    <w:tmpl w:val="4B009E00"/>
    <w:lvl w:ilvl="0" w:tplc="5B9E2C7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E22394"/>
    <w:multiLevelType w:val="hybridMultilevel"/>
    <w:tmpl w:val="EEF23BAC"/>
    <w:lvl w:ilvl="0" w:tplc="7B8290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06B84C">
      <w:start w:val="1"/>
      <w:numFmt w:val="decimal"/>
      <w:lvlText w:val="%3."/>
      <w:lvlJc w:val="left"/>
      <w:pPr>
        <w:ind w:left="2657" w:hanging="67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94F95"/>
    <w:multiLevelType w:val="hybridMultilevel"/>
    <w:tmpl w:val="8E3278C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32D586E"/>
    <w:multiLevelType w:val="hybridMultilevel"/>
    <w:tmpl w:val="51C8FC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66C4CFE"/>
    <w:multiLevelType w:val="hybridMultilevel"/>
    <w:tmpl w:val="185A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9F1D66"/>
    <w:multiLevelType w:val="hybridMultilevel"/>
    <w:tmpl w:val="379CD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C21F1B"/>
    <w:multiLevelType w:val="hybridMultilevel"/>
    <w:tmpl w:val="31FE69E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34"/>
  </w:num>
  <w:num w:numId="4">
    <w:abstractNumId w:val="2"/>
  </w:num>
  <w:num w:numId="5">
    <w:abstractNumId w:val="29"/>
  </w:num>
  <w:num w:numId="6">
    <w:abstractNumId w:val="1"/>
  </w:num>
  <w:num w:numId="7">
    <w:abstractNumId w:val="5"/>
  </w:num>
  <w:num w:numId="8">
    <w:abstractNumId w:val="6"/>
  </w:num>
  <w:num w:numId="9">
    <w:abstractNumId w:val="43"/>
  </w:num>
  <w:num w:numId="10">
    <w:abstractNumId w:val="31"/>
  </w:num>
  <w:num w:numId="11">
    <w:abstractNumId w:val="23"/>
  </w:num>
  <w:num w:numId="12">
    <w:abstractNumId w:val="22"/>
  </w:num>
  <w:num w:numId="13">
    <w:abstractNumId w:val="44"/>
  </w:num>
  <w:num w:numId="14">
    <w:abstractNumId w:val="42"/>
  </w:num>
  <w:num w:numId="15">
    <w:abstractNumId w:val="33"/>
  </w:num>
  <w:num w:numId="16">
    <w:abstractNumId w:val="11"/>
  </w:num>
  <w:num w:numId="17">
    <w:abstractNumId w:val="12"/>
  </w:num>
  <w:num w:numId="18">
    <w:abstractNumId w:val="17"/>
  </w:num>
  <w:num w:numId="19">
    <w:abstractNumId w:val="35"/>
  </w:num>
  <w:num w:numId="20">
    <w:abstractNumId w:val="36"/>
  </w:num>
  <w:num w:numId="21">
    <w:abstractNumId w:val="27"/>
  </w:num>
  <w:num w:numId="22">
    <w:abstractNumId w:val="38"/>
  </w:num>
  <w:num w:numId="23">
    <w:abstractNumId w:val="13"/>
  </w:num>
  <w:num w:numId="24">
    <w:abstractNumId w:val="20"/>
  </w:num>
  <w:num w:numId="25">
    <w:abstractNumId w:val="16"/>
  </w:num>
  <w:num w:numId="26">
    <w:abstractNumId w:val="46"/>
  </w:num>
  <w:num w:numId="27">
    <w:abstractNumId w:val="26"/>
  </w:num>
  <w:num w:numId="28">
    <w:abstractNumId w:val="10"/>
  </w:num>
  <w:num w:numId="29">
    <w:abstractNumId w:val="3"/>
  </w:num>
  <w:num w:numId="30">
    <w:abstractNumId w:val="18"/>
  </w:num>
  <w:num w:numId="31">
    <w:abstractNumId w:val="15"/>
  </w:num>
  <w:num w:numId="32">
    <w:abstractNumId w:val="40"/>
  </w:num>
  <w:num w:numId="33">
    <w:abstractNumId w:val="25"/>
  </w:num>
  <w:num w:numId="34">
    <w:abstractNumId w:val="32"/>
  </w:num>
  <w:num w:numId="35">
    <w:abstractNumId w:val="0"/>
  </w:num>
  <w:num w:numId="36">
    <w:abstractNumId w:val="30"/>
  </w:num>
  <w:num w:numId="37">
    <w:abstractNumId w:val="19"/>
  </w:num>
  <w:num w:numId="38">
    <w:abstractNumId w:val="37"/>
  </w:num>
  <w:num w:numId="39">
    <w:abstractNumId w:val="14"/>
  </w:num>
  <w:num w:numId="40">
    <w:abstractNumId w:val="28"/>
  </w:num>
  <w:num w:numId="41">
    <w:abstractNumId w:val="45"/>
  </w:num>
  <w:num w:numId="42">
    <w:abstractNumId w:val="24"/>
  </w:num>
  <w:num w:numId="43">
    <w:abstractNumId w:val="39"/>
  </w:num>
  <w:num w:numId="44">
    <w:abstractNumId w:val="7"/>
  </w:num>
  <w:num w:numId="45">
    <w:abstractNumId w:val="41"/>
  </w:num>
  <w:num w:numId="46">
    <w:abstractNumId w:val="8"/>
  </w:num>
  <w:num w:numId="4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bert Ostapowicz">
    <w15:presenceInfo w15:providerId="AD" w15:userId="S-1-5-21-496810500-2096436997-2835870143-13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05"/>
    <w:rsid w:val="00000350"/>
    <w:rsid w:val="00000E7E"/>
    <w:rsid w:val="0000162C"/>
    <w:rsid w:val="00001A5F"/>
    <w:rsid w:val="000023E4"/>
    <w:rsid w:val="0000272E"/>
    <w:rsid w:val="000033B8"/>
    <w:rsid w:val="00003A1F"/>
    <w:rsid w:val="00003FAF"/>
    <w:rsid w:val="00005207"/>
    <w:rsid w:val="00005299"/>
    <w:rsid w:val="0000542A"/>
    <w:rsid w:val="000059E0"/>
    <w:rsid w:val="00007640"/>
    <w:rsid w:val="00011934"/>
    <w:rsid w:val="000119CC"/>
    <w:rsid w:val="00012730"/>
    <w:rsid w:val="000128CC"/>
    <w:rsid w:val="0001321E"/>
    <w:rsid w:val="00013701"/>
    <w:rsid w:val="00013C3D"/>
    <w:rsid w:val="000148A5"/>
    <w:rsid w:val="000154A8"/>
    <w:rsid w:val="000156D9"/>
    <w:rsid w:val="00015F9D"/>
    <w:rsid w:val="0002171D"/>
    <w:rsid w:val="00021A61"/>
    <w:rsid w:val="00021B5B"/>
    <w:rsid w:val="000228C8"/>
    <w:rsid w:val="00022947"/>
    <w:rsid w:val="00023ABF"/>
    <w:rsid w:val="00024249"/>
    <w:rsid w:val="00024841"/>
    <w:rsid w:val="00024C37"/>
    <w:rsid w:val="00025AE9"/>
    <w:rsid w:val="00026709"/>
    <w:rsid w:val="00027588"/>
    <w:rsid w:val="00027894"/>
    <w:rsid w:val="00030806"/>
    <w:rsid w:val="000327BF"/>
    <w:rsid w:val="000348C6"/>
    <w:rsid w:val="00035777"/>
    <w:rsid w:val="0003670C"/>
    <w:rsid w:val="0004060C"/>
    <w:rsid w:val="000407A7"/>
    <w:rsid w:val="00040AED"/>
    <w:rsid w:val="00042F31"/>
    <w:rsid w:val="00043726"/>
    <w:rsid w:val="000438AE"/>
    <w:rsid w:val="000446FB"/>
    <w:rsid w:val="00045D63"/>
    <w:rsid w:val="000461EC"/>
    <w:rsid w:val="00046C32"/>
    <w:rsid w:val="00046F1D"/>
    <w:rsid w:val="000476CB"/>
    <w:rsid w:val="0005015A"/>
    <w:rsid w:val="0005049D"/>
    <w:rsid w:val="00052581"/>
    <w:rsid w:val="00053ABF"/>
    <w:rsid w:val="00053E9A"/>
    <w:rsid w:val="00053EB2"/>
    <w:rsid w:val="000569E7"/>
    <w:rsid w:val="00060BC6"/>
    <w:rsid w:val="00061CB8"/>
    <w:rsid w:val="00062750"/>
    <w:rsid w:val="00063E90"/>
    <w:rsid w:val="000650CC"/>
    <w:rsid w:val="00066988"/>
    <w:rsid w:val="000673EC"/>
    <w:rsid w:val="0006789C"/>
    <w:rsid w:val="00070965"/>
    <w:rsid w:val="00070D05"/>
    <w:rsid w:val="00073855"/>
    <w:rsid w:val="0007409B"/>
    <w:rsid w:val="0007734C"/>
    <w:rsid w:val="0008207E"/>
    <w:rsid w:val="00082083"/>
    <w:rsid w:val="000822A4"/>
    <w:rsid w:val="00083BFA"/>
    <w:rsid w:val="000845F8"/>
    <w:rsid w:val="00085925"/>
    <w:rsid w:val="00085C5D"/>
    <w:rsid w:val="00086C2A"/>
    <w:rsid w:val="0009128D"/>
    <w:rsid w:val="000928F1"/>
    <w:rsid w:val="00092C2B"/>
    <w:rsid w:val="00092E4E"/>
    <w:rsid w:val="00093559"/>
    <w:rsid w:val="00093A99"/>
    <w:rsid w:val="00094632"/>
    <w:rsid w:val="0009572E"/>
    <w:rsid w:val="000A0949"/>
    <w:rsid w:val="000A0C5A"/>
    <w:rsid w:val="000A1AF1"/>
    <w:rsid w:val="000A1C8F"/>
    <w:rsid w:val="000A1E30"/>
    <w:rsid w:val="000A2062"/>
    <w:rsid w:val="000A3C00"/>
    <w:rsid w:val="000A56E4"/>
    <w:rsid w:val="000A5B2A"/>
    <w:rsid w:val="000A65AE"/>
    <w:rsid w:val="000A77B8"/>
    <w:rsid w:val="000A7A0A"/>
    <w:rsid w:val="000A7D42"/>
    <w:rsid w:val="000B0061"/>
    <w:rsid w:val="000B05CE"/>
    <w:rsid w:val="000B1F78"/>
    <w:rsid w:val="000B2AED"/>
    <w:rsid w:val="000B3DF9"/>
    <w:rsid w:val="000B4511"/>
    <w:rsid w:val="000B5475"/>
    <w:rsid w:val="000B553B"/>
    <w:rsid w:val="000B636E"/>
    <w:rsid w:val="000C359F"/>
    <w:rsid w:val="000C363D"/>
    <w:rsid w:val="000C5B82"/>
    <w:rsid w:val="000C5BA7"/>
    <w:rsid w:val="000C6470"/>
    <w:rsid w:val="000C6D48"/>
    <w:rsid w:val="000C73C9"/>
    <w:rsid w:val="000C79CF"/>
    <w:rsid w:val="000C7E54"/>
    <w:rsid w:val="000C7FC6"/>
    <w:rsid w:val="000D0895"/>
    <w:rsid w:val="000D0D11"/>
    <w:rsid w:val="000D1098"/>
    <w:rsid w:val="000D1DD5"/>
    <w:rsid w:val="000D3B00"/>
    <w:rsid w:val="000D3F06"/>
    <w:rsid w:val="000D4634"/>
    <w:rsid w:val="000D5341"/>
    <w:rsid w:val="000D595F"/>
    <w:rsid w:val="000D5FF5"/>
    <w:rsid w:val="000D64A7"/>
    <w:rsid w:val="000E001E"/>
    <w:rsid w:val="000E11A6"/>
    <w:rsid w:val="000E3137"/>
    <w:rsid w:val="000E428F"/>
    <w:rsid w:val="000E4CCE"/>
    <w:rsid w:val="000E5A9F"/>
    <w:rsid w:val="000E62AE"/>
    <w:rsid w:val="000E6394"/>
    <w:rsid w:val="000E7657"/>
    <w:rsid w:val="000F098A"/>
    <w:rsid w:val="000F15A4"/>
    <w:rsid w:val="000F1CE4"/>
    <w:rsid w:val="000F2BAA"/>
    <w:rsid w:val="000F32C6"/>
    <w:rsid w:val="000F5F0A"/>
    <w:rsid w:val="000F6E30"/>
    <w:rsid w:val="00100243"/>
    <w:rsid w:val="001017F8"/>
    <w:rsid w:val="001018F8"/>
    <w:rsid w:val="00101E41"/>
    <w:rsid w:val="00102AAA"/>
    <w:rsid w:val="001031BB"/>
    <w:rsid w:val="00104599"/>
    <w:rsid w:val="0010491F"/>
    <w:rsid w:val="00104DB0"/>
    <w:rsid w:val="001069B0"/>
    <w:rsid w:val="00107F80"/>
    <w:rsid w:val="0011078D"/>
    <w:rsid w:val="00111AD3"/>
    <w:rsid w:val="00111C3A"/>
    <w:rsid w:val="00111EF4"/>
    <w:rsid w:val="00112165"/>
    <w:rsid w:val="00113056"/>
    <w:rsid w:val="0011330D"/>
    <w:rsid w:val="001135A9"/>
    <w:rsid w:val="00115759"/>
    <w:rsid w:val="001158B9"/>
    <w:rsid w:val="0011669A"/>
    <w:rsid w:val="0011762A"/>
    <w:rsid w:val="00117DBA"/>
    <w:rsid w:val="0012070C"/>
    <w:rsid w:val="00120923"/>
    <w:rsid w:val="00120E53"/>
    <w:rsid w:val="00121178"/>
    <w:rsid w:val="00121D1C"/>
    <w:rsid w:val="00121EFD"/>
    <w:rsid w:val="00122A7D"/>
    <w:rsid w:val="00122D9F"/>
    <w:rsid w:val="0012329D"/>
    <w:rsid w:val="00123D6D"/>
    <w:rsid w:val="001240F5"/>
    <w:rsid w:val="00124AC5"/>
    <w:rsid w:val="00125348"/>
    <w:rsid w:val="0012559C"/>
    <w:rsid w:val="001266A1"/>
    <w:rsid w:val="00126F17"/>
    <w:rsid w:val="00131507"/>
    <w:rsid w:val="00131F70"/>
    <w:rsid w:val="00132993"/>
    <w:rsid w:val="001336A8"/>
    <w:rsid w:val="00134237"/>
    <w:rsid w:val="001343B0"/>
    <w:rsid w:val="0013533E"/>
    <w:rsid w:val="001356C1"/>
    <w:rsid w:val="0014046E"/>
    <w:rsid w:val="001405C1"/>
    <w:rsid w:val="00141D62"/>
    <w:rsid w:val="00142A30"/>
    <w:rsid w:val="00143258"/>
    <w:rsid w:val="00144772"/>
    <w:rsid w:val="00144CD5"/>
    <w:rsid w:val="001451BB"/>
    <w:rsid w:val="00147306"/>
    <w:rsid w:val="0014744E"/>
    <w:rsid w:val="00147CD0"/>
    <w:rsid w:val="00150CF4"/>
    <w:rsid w:val="00152AC6"/>
    <w:rsid w:val="00153002"/>
    <w:rsid w:val="00153621"/>
    <w:rsid w:val="0015481B"/>
    <w:rsid w:val="00154D84"/>
    <w:rsid w:val="001554F7"/>
    <w:rsid w:val="0015595C"/>
    <w:rsid w:val="00156DF0"/>
    <w:rsid w:val="00157983"/>
    <w:rsid w:val="00157A5F"/>
    <w:rsid w:val="00157E3D"/>
    <w:rsid w:val="00161340"/>
    <w:rsid w:val="001618BC"/>
    <w:rsid w:val="00161AC1"/>
    <w:rsid w:val="001634E4"/>
    <w:rsid w:val="001642D5"/>
    <w:rsid w:val="001655C8"/>
    <w:rsid w:val="00165786"/>
    <w:rsid w:val="00165959"/>
    <w:rsid w:val="001714D3"/>
    <w:rsid w:val="00171E66"/>
    <w:rsid w:val="00172C1E"/>
    <w:rsid w:val="00173028"/>
    <w:rsid w:val="0017331F"/>
    <w:rsid w:val="00174039"/>
    <w:rsid w:val="00174107"/>
    <w:rsid w:val="00174636"/>
    <w:rsid w:val="00175262"/>
    <w:rsid w:val="0017661F"/>
    <w:rsid w:val="0017751B"/>
    <w:rsid w:val="00177769"/>
    <w:rsid w:val="001801F8"/>
    <w:rsid w:val="00180534"/>
    <w:rsid w:val="00181170"/>
    <w:rsid w:val="00182C44"/>
    <w:rsid w:val="00183FC1"/>
    <w:rsid w:val="00184B8C"/>
    <w:rsid w:val="0018558C"/>
    <w:rsid w:val="0018646B"/>
    <w:rsid w:val="00186CAB"/>
    <w:rsid w:val="001906EA"/>
    <w:rsid w:val="00191354"/>
    <w:rsid w:val="0019137E"/>
    <w:rsid w:val="00191931"/>
    <w:rsid w:val="00191C87"/>
    <w:rsid w:val="001924CE"/>
    <w:rsid w:val="001926FA"/>
    <w:rsid w:val="00192771"/>
    <w:rsid w:val="00192901"/>
    <w:rsid w:val="001932E1"/>
    <w:rsid w:val="0019359B"/>
    <w:rsid w:val="00194296"/>
    <w:rsid w:val="001945F5"/>
    <w:rsid w:val="00194EBD"/>
    <w:rsid w:val="00195177"/>
    <w:rsid w:val="00195725"/>
    <w:rsid w:val="00196BE3"/>
    <w:rsid w:val="00197581"/>
    <w:rsid w:val="001A0BD6"/>
    <w:rsid w:val="001A10E1"/>
    <w:rsid w:val="001A2D6B"/>
    <w:rsid w:val="001A3AB2"/>
    <w:rsid w:val="001A41A1"/>
    <w:rsid w:val="001A4596"/>
    <w:rsid w:val="001A6473"/>
    <w:rsid w:val="001A677E"/>
    <w:rsid w:val="001A6F58"/>
    <w:rsid w:val="001A708D"/>
    <w:rsid w:val="001A70EC"/>
    <w:rsid w:val="001A756B"/>
    <w:rsid w:val="001B0194"/>
    <w:rsid w:val="001B26F2"/>
    <w:rsid w:val="001B2DFA"/>
    <w:rsid w:val="001B4082"/>
    <w:rsid w:val="001B4274"/>
    <w:rsid w:val="001B49F8"/>
    <w:rsid w:val="001C0031"/>
    <w:rsid w:val="001C1139"/>
    <w:rsid w:val="001C18CC"/>
    <w:rsid w:val="001C333C"/>
    <w:rsid w:val="001C37A9"/>
    <w:rsid w:val="001C495A"/>
    <w:rsid w:val="001C4E78"/>
    <w:rsid w:val="001C5D30"/>
    <w:rsid w:val="001C5D80"/>
    <w:rsid w:val="001C6122"/>
    <w:rsid w:val="001C75DF"/>
    <w:rsid w:val="001C7EDD"/>
    <w:rsid w:val="001D0570"/>
    <w:rsid w:val="001D08E7"/>
    <w:rsid w:val="001D14A4"/>
    <w:rsid w:val="001D20EC"/>
    <w:rsid w:val="001D2559"/>
    <w:rsid w:val="001D330F"/>
    <w:rsid w:val="001D4526"/>
    <w:rsid w:val="001D5A9A"/>
    <w:rsid w:val="001D6F49"/>
    <w:rsid w:val="001E1691"/>
    <w:rsid w:val="001E189B"/>
    <w:rsid w:val="001E2618"/>
    <w:rsid w:val="001E6FAC"/>
    <w:rsid w:val="001E71A2"/>
    <w:rsid w:val="001E7601"/>
    <w:rsid w:val="001F1FEC"/>
    <w:rsid w:val="001F28D9"/>
    <w:rsid w:val="001F2DC5"/>
    <w:rsid w:val="001F32BB"/>
    <w:rsid w:val="001F44AF"/>
    <w:rsid w:val="001F52EE"/>
    <w:rsid w:val="001F6D4F"/>
    <w:rsid w:val="001F6E9E"/>
    <w:rsid w:val="001F77FB"/>
    <w:rsid w:val="001F7970"/>
    <w:rsid w:val="002006BF"/>
    <w:rsid w:val="002008A7"/>
    <w:rsid w:val="00201630"/>
    <w:rsid w:val="00201F4F"/>
    <w:rsid w:val="00202E82"/>
    <w:rsid w:val="00203351"/>
    <w:rsid w:val="0020395E"/>
    <w:rsid w:val="00203D6B"/>
    <w:rsid w:val="0020557E"/>
    <w:rsid w:val="00206062"/>
    <w:rsid w:val="00207E71"/>
    <w:rsid w:val="002101B2"/>
    <w:rsid w:val="002118BB"/>
    <w:rsid w:val="00211A5D"/>
    <w:rsid w:val="00212005"/>
    <w:rsid w:val="00215CBE"/>
    <w:rsid w:val="00216B01"/>
    <w:rsid w:val="002203AB"/>
    <w:rsid w:val="002208C3"/>
    <w:rsid w:val="002217EB"/>
    <w:rsid w:val="002218F0"/>
    <w:rsid w:val="00221AF2"/>
    <w:rsid w:val="00221E00"/>
    <w:rsid w:val="0022230A"/>
    <w:rsid w:val="002223AE"/>
    <w:rsid w:val="00222BE0"/>
    <w:rsid w:val="00222E43"/>
    <w:rsid w:val="00222EC9"/>
    <w:rsid w:val="0022400C"/>
    <w:rsid w:val="00224212"/>
    <w:rsid w:val="00225017"/>
    <w:rsid w:val="002264BE"/>
    <w:rsid w:val="0022670A"/>
    <w:rsid w:val="00226771"/>
    <w:rsid w:val="00226D4C"/>
    <w:rsid w:val="00233043"/>
    <w:rsid w:val="002337D1"/>
    <w:rsid w:val="002346A7"/>
    <w:rsid w:val="00236006"/>
    <w:rsid w:val="00236665"/>
    <w:rsid w:val="00241E75"/>
    <w:rsid w:val="00243A61"/>
    <w:rsid w:val="002440D3"/>
    <w:rsid w:val="002444DE"/>
    <w:rsid w:val="00246E72"/>
    <w:rsid w:val="002478F7"/>
    <w:rsid w:val="00247BA9"/>
    <w:rsid w:val="00250545"/>
    <w:rsid w:val="00251282"/>
    <w:rsid w:val="002516D9"/>
    <w:rsid w:val="0025287F"/>
    <w:rsid w:val="0025486C"/>
    <w:rsid w:val="00257187"/>
    <w:rsid w:val="00257D0B"/>
    <w:rsid w:val="00260152"/>
    <w:rsid w:val="0026016A"/>
    <w:rsid w:val="0026120F"/>
    <w:rsid w:val="00264F88"/>
    <w:rsid w:val="00267A3D"/>
    <w:rsid w:val="00267B58"/>
    <w:rsid w:val="00270569"/>
    <w:rsid w:val="00271472"/>
    <w:rsid w:val="00271859"/>
    <w:rsid w:val="00271B06"/>
    <w:rsid w:val="00271CC1"/>
    <w:rsid w:val="0027227F"/>
    <w:rsid w:val="0027328C"/>
    <w:rsid w:val="00273C6B"/>
    <w:rsid w:val="002747B1"/>
    <w:rsid w:val="00275D1F"/>
    <w:rsid w:val="0027700D"/>
    <w:rsid w:val="0027714E"/>
    <w:rsid w:val="00280064"/>
    <w:rsid w:val="00280B8D"/>
    <w:rsid w:val="0028103F"/>
    <w:rsid w:val="00282136"/>
    <w:rsid w:val="0028275C"/>
    <w:rsid w:val="00282B90"/>
    <w:rsid w:val="00283171"/>
    <w:rsid w:val="002831C3"/>
    <w:rsid w:val="002846B7"/>
    <w:rsid w:val="0028621C"/>
    <w:rsid w:val="0028654E"/>
    <w:rsid w:val="00290D10"/>
    <w:rsid w:val="00292447"/>
    <w:rsid w:val="002924EF"/>
    <w:rsid w:val="00293419"/>
    <w:rsid w:val="00294042"/>
    <w:rsid w:val="00294519"/>
    <w:rsid w:val="00294FCF"/>
    <w:rsid w:val="0029720B"/>
    <w:rsid w:val="00297FA6"/>
    <w:rsid w:val="002A042E"/>
    <w:rsid w:val="002A0555"/>
    <w:rsid w:val="002A1094"/>
    <w:rsid w:val="002A3E36"/>
    <w:rsid w:val="002A477C"/>
    <w:rsid w:val="002A5187"/>
    <w:rsid w:val="002A7266"/>
    <w:rsid w:val="002A729A"/>
    <w:rsid w:val="002B199C"/>
    <w:rsid w:val="002B1C61"/>
    <w:rsid w:val="002B2BE6"/>
    <w:rsid w:val="002B301F"/>
    <w:rsid w:val="002B38E2"/>
    <w:rsid w:val="002B48EF"/>
    <w:rsid w:val="002B5299"/>
    <w:rsid w:val="002B6BA3"/>
    <w:rsid w:val="002B7A28"/>
    <w:rsid w:val="002C6D41"/>
    <w:rsid w:val="002C77EF"/>
    <w:rsid w:val="002D0A04"/>
    <w:rsid w:val="002D0C05"/>
    <w:rsid w:val="002D1C8A"/>
    <w:rsid w:val="002D53A3"/>
    <w:rsid w:val="002D728C"/>
    <w:rsid w:val="002D729D"/>
    <w:rsid w:val="002E0605"/>
    <w:rsid w:val="002E1B82"/>
    <w:rsid w:val="002E228F"/>
    <w:rsid w:val="002E4107"/>
    <w:rsid w:val="002E467F"/>
    <w:rsid w:val="002E4C03"/>
    <w:rsid w:val="002E5BD9"/>
    <w:rsid w:val="002E6F51"/>
    <w:rsid w:val="002E7E7B"/>
    <w:rsid w:val="002F09C1"/>
    <w:rsid w:val="002F13B6"/>
    <w:rsid w:val="002F4636"/>
    <w:rsid w:val="002F5C13"/>
    <w:rsid w:val="002F65FF"/>
    <w:rsid w:val="002F69BC"/>
    <w:rsid w:val="002F6C3E"/>
    <w:rsid w:val="002F71F0"/>
    <w:rsid w:val="002F7859"/>
    <w:rsid w:val="00301097"/>
    <w:rsid w:val="0030226B"/>
    <w:rsid w:val="003023E1"/>
    <w:rsid w:val="00302FD7"/>
    <w:rsid w:val="003039C2"/>
    <w:rsid w:val="00304F53"/>
    <w:rsid w:val="003052D7"/>
    <w:rsid w:val="00306E40"/>
    <w:rsid w:val="003076D0"/>
    <w:rsid w:val="00310DE7"/>
    <w:rsid w:val="0031130E"/>
    <w:rsid w:val="0031215A"/>
    <w:rsid w:val="00314E64"/>
    <w:rsid w:val="0031526B"/>
    <w:rsid w:val="003161B0"/>
    <w:rsid w:val="0032080F"/>
    <w:rsid w:val="00320AA1"/>
    <w:rsid w:val="00320EC4"/>
    <w:rsid w:val="00321582"/>
    <w:rsid w:val="00322931"/>
    <w:rsid w:val="00324725"/>
    <w:rsid w:val="00324A73"/>
    <w:rsid w:val="003257A9"/>
    <w:rsid w:val="003260C1"/>
    <w:rsid w:val="0032670E"/>
    <w:rsid w:val="003271E2"/>
    <w:rsid w:val="003302D9"/>
    <w:rsid w:val="003309AF"/>
    <w:rsid w:val="00331F25"/>
    <w:rsid w:val="00332E81"/>
    <w:rsid w:val="003331B5"/>
    <w:rsid w:val="00333DAB"/>
    <w:rsid w:val="00334194"/>
    <w:rsid w:val="00334E4E"/>
    <w:rsid w:val="00335DAD"/>
    <w:rsid w:val="0033615E"/>
    <w:rsid w:val="00343121"/>
    <w:rsid w:val="003442CF"/>
    <w:rsid w:val="00344685"/>
    <w:rsid w:val="00346489"/>
    <w:rsid w:val="003506AE"/>
    <w:rsid w:val="00352A86"/>
    <w:rsid w:val="00353047"/>
    <w:rsid w:val="00354F37"/>
    <w:rsid w:val="00355C78"/>
    <w:rsid w:val="003565C4"/>
    <w:rsid w:val="0035671B"/>
    <w:rsid w:val="00356803"/>
    <w:rsid w:val="00356923"/>
    <w:rsid w:val="00360179"/>
    <w:rsid w:val="0036047E"/>
    <w:rsid w:val="00360D13"/>
    <w:rsid w:val="0036112A"/>
    <w:rsid w:val="00362012"/>
    <w:rsid w:val="00362FA7"/>
    <w:rsid w:val="00363421"/>
    <w:rsid w:val="003639AE"/>
    <w:rsid w:val="0036425F"/>
    <w:rsid w:val="00364306"/>
    <w:rsid w:val="0036497F"/>
    <w:rsid w:val="00364C56"/>
    <w:rsid w:val="00364FA6"/>
    <w:rsid w:val="0036673D"/>
    <w:rsid w:val="003675D2"/>
    <w:rsid w:val="00367F9F"/>
    <w:rsid w:val="0037034A"/>
    <w:rsid w:val="0037129E"/>
    <w:rsid w:val="003718C4"/>
    <w:rsid w:val="00372228"/>
    <w:rsid w:val="0037301D"/>
    <w:rsid w:val="003732B1"/>
    <w:rsid w:val="00373650"/>
    <w:rsid w:val="00373DC7"/>
    <w:rsid w:val="003751EE"/>
    <w:rsid w:val="00376967"/>
    <w:rsid w:val="00377713"/>
    <w:rsid w:val="0037772A"/>
    <w:rsid w:val="0038356E"/>
    <w:rsid w:val="00383F53"/>
    <w:rsid w:val="00390229"/>
    <w:rsid w:val="0039075D"/>
    <w:rsid w:val="00391C45"/>
    <w:rsid w:val="003927B0"/>
    <w:rsid w:val="00393C9C"/>
    <w:rsid w:val="00394326"/>
    <w:rsid w:val="003956E2"/>
    <w:rsid w:val="00395EC3"/>
    <w:rsid w:val="003963A8"/>
    <w:rsid w:val="00397212"/>
    <w:rsid w:val="00397666"/>
    <w:rsid w:val="00397B1E"/>
    <w:rsid w:val="003A05AC"/>
    <w:rsid w:val="003A079A"/>
    <w:rsid w:val="003A1A87"/>
    <w:rsid w:val="003A2BC8"/>
    <w:rsid w:val="003A3C33"/>
    <w:rsid w:val="003A44DB"/>
    <w:rsid w:val="003A6DB7"/>
    <w:rsid w:val="003B0958"/>
    <w:rsid w:val="003B1455"/>
    <w:rsid w:val="003B1892"/>
    <w:rsid w:val="003B205E"/>
    <w:rsid w:val="003B2F1D"/>
    <w:rsid w:val="003B47FA"/>
    <w:rsid w:val="003B5226"/>
    <w:rsid w:val="003B5973"/>
    <w:rsid w:val="003B6CE2"/>
    <w:rsid w:val="003B77BF"/>
    <w:rsid w:val="003B7B12"/>
    <w:rsid w:val="003C0464"/>
    <w:rsid w:val="003C14B1"/>
    <w:rsid w:val="003C18EF"/>
    <w:rsid w:val="003C28BC"/>
    <w:rsid w:val="003C3A57"/>
    <w:rsid w:val="003C3A6B"/>
    <w:rsid w:val="003C3EBB"/>
    <w:rsid w:val="003C58EE"/>
    <w:rsid w:val="003C5DBC"/>
    <w:rsid w:val="003D1EFB"/>
    <w:rsid w:val="003D1F18"/>
    <w:rsid w:val="003D2426"/>
    <w:rsid w:val="003D25E9"/>
    <w:rsid w:val="003D2736"/>
    <w:rsid w:val="003D27A8"/>
    <w:rsid w:val="003D2F82"/>
    <w:rsid w:val="003D2F99"/>
    <w:rsid w:val="003D3347"/>
    <w:rsid w:val="003D3BE9"/>
    <w:rsid w:val="003D5DF4"/>
    <w:rsid w:val="003D6237"/>
    <w:rsid w:val="003E129A"/>
    <w:rsid w:val="003E1747"/>
    <w:rsid w:val="003E1B52"/>
    <w:rsid w:val="003E48DD"/>
    <w:rsid w:val="003E4D1A"/>
    <w:rsid w:val="003E4D2C"/>
    <w:rsid w:val="003E54E2"/>
    <w:rsid w:val="003E66FB"/>
    <w:rsid w:val="003E7005"/>
    <w:rsid w:val="003E70CB"/>
    <w:rsid w:val="003E7B55"/>
    <w:rsid w:val="003E7FDB"/>
    <w:rsid w:val="003F0C81"/>
    <w:rsid w:val="003F112E"/>
    <w:rsid w:val="003F3204"/>
    <w:rsid w:val="003F3534"/>
    <w:rsid w:val="003F388C"/>
    <w:rsid w:val="003F3E89"/>
    <w:rsid w:val="003F453D"/>
    <w:rsid w:val="003F4965"/>
    <w:rsid w:val="003F539B"/>
    <w:rsid w:val="003F5F10"/>
    <w:rsid w:val="004002EB"/>
    <w:rsid w:val="004021A7"/>
    <w:rsid w:val="004033C6"/>
    <w:rsid w:val="00404603"/>
    <w:rsid w:val="00404965"/>
    <w:rsid w:val="0040534C"/>
    <w:rsid w:val="00405FFD"/>
    <w:rsid w:val="00406C5C"/>
    <w:rsid w:val="0040760E"/>
    <w:rsid w:val="00407F51"/>
    <w:rsid w:val="00411412"/>
    <w:rsid w:val="00411F41"/>
    <w:rsid w:val="0041218B"/>
    <w:rsid w:val="00412BDB"/>
    <w:rsid w:val="00417C2A"/>
    <w:rsid w:val="004204EB"/>
    <w:rsid w:val="00420806"/>
    <w:rsid w:val="00421F95"/>
    <w:rsid w:val="00426EFA"/>
    <w:rsid w:val="00427009"/>
    <w:rsid w:val="00427AF0"/>
    <w:rsid w:val="00430550"/>
    <w:rsid w:val="00430968"/>
    <w:rsid w:val="004321D7"/>
    <w:rsid w:val="00433667"/>
    <w:rsid w:val="00433768"/>
    <w:rsid w:val="00435171"/>
    <w:rsid w:val="0043523A"/>
    <w:rsid w:val="00436A40"/>
    <w:rsid w:val="004416E1"/>
    <w:rsid w:val="00441E0C"/>
    <w:rsid w:val="004445DB"/>
    <w:rsid w:val="00444996"/>
    <w:rsid w:val="00444F18"/>
    <w:rsid w:val="00446104"/>
    <w:rsid w:val="00446F89"/>
    <w:rsid w:val="00450874"/>
    <w:rsid w:val="00451B1D"/>
    <w:rsid w:val="00452C60"/>
    <w:rsid w:val="0045490E"/>
    <w:rsid w:val="00455841"/>
    <w:rsid w:val="004559D6"/>
    <w:rsid w:val="00455A6D"/>
    <w:rsid w:val="00456B58"/>
    <w:rsid w:val="004571CC"/>
    <w:rsid w:val="00457BB2"/>
    <w:rsid w:val="00461CAA"/>
    <w:rsid w:val="00461EDA"/>
    <w:rsid w:val="00462345"/>
    <w:rsid w:val="00462926"/>
    <w:rsid w:val="00462B59"/>
    <w:rsid w:val="00465DA4"/>
    <w:rsid w:val="004660E3"/>
    <w:rsid w:val="004665F8"/>
    <w:rsid w:val="00470669"/>
    <w:rsid w:val="004727A8"/>
    <w:rsid w:val="004731AC"/>
    <w:rsid w:val="00475DC3"/>
    <w:rsid w:val="00476970"/>
    <w:rsid w:val="00477099"/>
    <w:rsid w:val="0047763F"/>
    <w:rsid w:val="00477E95"/>
    <w:rsid w:val="00477FE6"/>
    <w:rsid w:val="00480A89"/>
    <w:rsid w:val="00480F60"/>
    <w:rsid w:val="00482252"/>
    <w:rsid w:val="00482520"/>
    <w:rsid w:val="00485237"/>
    <w:rsid w:val="00485769"/>
    <w:rsid w:val="00485A16"/>
    <w:rsid w:val="00486889"/>
    <w:rsid w:val="0048773E"/>
    <w:rsid w:val="00487917"/>
    <w:rsid w:val="00490369"/>
    <w:rsid w:val="004903E4"/>
    <w:rsid w:val="0049057F"/>
    <w:rsid w:val="00490BBD"/>
    <w:rsid w:val="00490FFF"/>
    <w:rsid w:val="004921DB"/>
    <w:rsid w:val="004935B4"/>
    <w:rsid w:val="00493A5A"/>
    <w:rsid w:val="00493A7B"/>
    <w:rsid w:val="004944D3"/>
    <w:rsid w:val="0049485C"/>
    <w:rsid w:val="00494AD6"/>
    <w:rsid w:val="00494BBE"/>
    <w:rsid w:val="00495CB3"/>
    <w:rsid w:val="00495CED"/>
    <w:rsid w:val="00495DE3"/>
    <w:rsid w:val="004A00F5"/>
    <w:rsid w:val="004A01A8"/>
    <w:rsid w:val="004A08DB"/>
    <w:rsid w:val="004A15D1"/>
    <w:rsid w:val="004A1E42"/>
    <w:rsid w:val="004A3367"/>
    <w:rsid w:val="004A3563"/>
    <w:rsid w:val="004A4D68"/>
    <w:rsid w:val="004A5BE6"/>
    <w:rsid w:val="004A6190"/>
    <w:rsid w:val="004A61CB"/>
    <w:rsid w:val="004A67A8"/>
    <w:rsid w:val="004A7E7E"/>
    <w:rsid w:val="004B1F9E"/>
    <w:rsid w:val="004B2268"/>
    <w:rsid w:val="004B2D27"/>
    <w:rsid w:val="004B3841"/>
    <w:rsid w:val="004B4581"/>
    <w:rsid w:val="004B4D02"/>
    <w:rsid w:val="004B5A85"/>
    <w:rsid w:val="004B5CC8"/>
    <w:rsid w:val="004B5F30"/>
    <w:rsid w:val="004C1F83"/>
    <w:rsid w:val="004C2144"/>
    <w:rsid w:val="004C2FBC"/>
    <w:rsid w:val="004C2FDD"/>
    <w:rsid w:val="004C3591"/>
    <w:rsid w:val="004C3FA3"/>
    <w:rsid w:val="004C42CA"/>
    <w:rsid w:val="004C74AD"/>
    <w:rsid w:val="004D33BE"/>
    <w:rsid w:val="004D34C7"/>
    <w:rsid w:val="004D564D"/>
    <w:rsid w:val="004D60AB"/>
    <w:rsid w:val="004D7DBF"/>
    <w:rsid w:val="004E0CB6"/>
    <w:rsid w:val="004E193C"/>
    <w:rsid w:val="004E20DD"/>
    <w:rsid w:val="004E2109"/>
    <w:rsid w:val="004E27B2"/>
    <w:rsid w:val="004E3281"/>
    <w:rsid w:val="004E52DD"/>
    <w:rsid w:val="004E57C6"/>
    <w:rsid w:val="004E6822"/>
    <w:rsid w:val="004E6AA7"/>
    <w:rsid w:val="004F0176"/>
    <w:rsid w:val="004F236F"/>
    <w:rsid w:val="004F2924"/>
    <w:rsid w:val="004F2D27"/>
    <w:rsid w:val="004F438F"/>
    <w:rsid w:val="004F4E6E"/>
    <w:rsid w:val="004F6524"/>
    <w:rsid w:val="004F6A74"/>
    <w:rsid w:val="004F6BAF"/>
    <w:rsid w:val="004F72DD"/>
    <w:rsid w:val="00502471"/>
    <w:rsid w:val="00502B8A"/>
    <w:rsid w:val="00502F68"/>
    <w:rsid w:val="00503177"/>
    <w:rsid w:val="0050355A"/>
    <w:rsid w:val="005042E6"/>
    <w:rsid w:val="005104A7"/>
    <w:rsid w:val="00510E67"/>
    <w:rsid w:val="00511CF6"/>
    <w:rsid w:val="005126FC"/>
    <w:rsid w:val="00512F41"/>
    <w:rsid w:val="00514AF4"/>
    <w:rsid w:val="005163B0"/>
    <w:rsid w:val="00516914"/>
    <w:rsid w:val="00516C13"/>
    <w:rsid w:val="005172DC"/>
    <w:rsid w:val="00521273"/>
    <w:rsid w:val="00521A33"/>
    <w:rsid w:val="005232C9"/>
    <w:rsid w:val="00523363"/>
    <w:rsid w:val="00524698"/>
    <w:rsid w:val="005264ED"/>
    <w:rsid w:val="00526CA9"/>
    <w:rsid w:val="005279B1"/>
    <w:rsid w:val="005316B3"/>
    <w:rsid w:val="00532411"/>
    <w:rsid w:val="0053281C"/>
    <w:rsid w:val="00532B76"/>
    <w:rsid w:val="00532D92"/>
    <w:rsid w:val="0053497D"/>
    <w:rsid w:val="005366F2"/>
    <w:rsid w:val="00540961"/>
    <w:rsid w:val="00540AC5"/>
    <w:rsid w:val="005423CD"/>
    <w:rsid w:val="00542E88"/>
    <w:rsid w:val="005437B0"/>
    <w:rsid w:val="00544456"/>
    <w:rsid w:val="005447AD"/>
    <w:rsid w:val="00545902"/>
    <w:rsid w:val="00545B16"/>
    <w:rsid w:val="005466A5"/>
    <w:rsid w:val="005473A3"/>
    <w:rsid w:val="00550C38"/>
    <w:rsid w:val="00552173"/>
    <w:rsid w:val="00552923"/>
    <w:rsid w:val="005550B6"/>
    <w:rsid w:val="005556D4"/>
    <w:rsid w:val="00556059"/>
    <w:rsid w:val="0056015B"/>
    <w:rsid w:val="00560A39"/>
    <w:rsid w:val="00560C49"/>
    <w:rsid w:val="005618F3"/>
    <w:rsid w:val="00561F57"/>
    <w:rsid w:val="00562D7D"/>
    <w:rsid w:val="00564636"/>
    <w:rsid w:val="0056582A"/>
    <w:rsid w:val="00570FAF"/>
    <w:rsid w:val="00572FCF"/>
    <w:rsid w:val="00573BFB"/>
    <w:rsid w:val="00573F79"/>
    <w:rsid w:val="00574947"/>
    <w:rsid w:val="00574DA9"/>
    <w:rsid w:val="00574E5C"/>
    <w:rsid w:val="00574FDD"/>
    <w:rsid w:val="00575443"/>
    <w:rsid w:val="0057549B"/>
    <w:rsid w:val="00576208"/>
    <w:rsid w:val="00577D1D"/>
    <w:rsid w:val="0058020A"/>
    <w:rsid w:val="00580847"/>
    <w:rsid w:val="0058126F"/>
    <w:rsid w:val="00581C33"/>
    <w:rsid w:val="005824C7"/>
    <w:rsid w:val="0058291B"/>
    <w:rsid w:val="00582A99"/>
    <w:rsid w:val="00582E6A"/>
    <w:rsid w:val="00583398"/>
    <w:rsid w:val="005837C0"/>
    <w:rsid w:val="00583B0A"/>
    <w:rsid w:val="00584A91"/>
    <w:rsid w:val="00584FA3"/>
    <w:rsid w:val="00585ED3"/>
    <w:rsid w:val="00585FD1"/>
    <w:rsid w:val="00585FF4"/>
    <w:rsid w:val="005869DD"/>
    <w:rsid w:val="00586A4F"/>
    <w:rsid w:val="00586C30"/>
    <w:rsid w:val="00591667"/>
    <w:rsid w:val="0059327E"/>
    <w:rsid w:val="00593B96"/>
    <w:rsid w:val="0059407E"/>
    <w:rsid w:val="005947E5"/>
    <w:rsid w:val="005950B5"/>
    <w:rsid w:val="0059715C"/>
    <w:rsid w:val="005A1548"/>
    <w:rsid w:val="005A3194"/>
    <w:rsid w:val="005A4E36"/>
    <w:rsid w:val="005A59F4"/>
    <w:rsid w:val="005A5B41"/>
    <w:rsid w:val="005A634A"/>
    <w:rsid w:val="005A6376"/>
    <w:rsid w:val="005A73CE"/>
    <w:rsid w:val="005A7F78"/>
    <w:rsid w:val="005B1529"/>
    <w:rsid w:val="005B1F5F"/>
    <w:rsid w:val="005B24D3"/>
    <w:rsid w:val="005B305D"/>
    <w:rsid w:val="005B4A87"/>
    <w:rsid w:val="005B4F0F"/>
    <w:rsid w:val="005B5783"/>
    <w:rsid w:val="005B698D"/>
    <w:rsid w:val="005B6DED"/>
    <w:rsid w:val="005B7538"/>
    <w:rsid w:val="005B79B3"/>
    <w:rsid w:val="005B7F76"/>
    <w:rsid w:val="005C0227"/>
    <w:rsid w:val="005C0B63"/>
    <w:rsid w:val="005C0CE6"/>
    <w:rsid w:val="005C0D3A"/>
    <w:rsid w:val="005C22E5"/>
    <w:rsid w:val="005C3390"/>
    <w:rsid w:val="005C468C"/>
    <w:rsid w:val="005C46C4"/>
    <w:rsid w:val="005C488B"/>
    <w:rsid w:val="005C4A92"/>
    <w:rsid w:val="005C4FEB"/>
    <w:rsid w:val="005C5D2B"/>
    <w:rsid w:val="005C62CE"/>
    <w:rsid w:val="005C6E1B"/>
    <w:rsid w:val="005D01C4"/>
    <w:rsid w:val="005D1D3C"/>
    <w:rsid w:val="005D2076"/>
    <w:rsid w:val="005D208C"/>
    <w:rsid w:val="005D253A"/>
    <w:rsid w:val="005D28C5"/>
    <w:rsid w:val="005D2BE3"/>
    <w:rsid w:val="005D34BD"/>
    <w:rsid w:val="005D3DE2"/>
    <w:rsid w:val="005D5207"/>
    <w:rsid w:val="005D7067"/>
    <w:rsid w:val="005E1D3D"/>
    <w:rsid w:val="005E1D7A"/>
    <w:rsid w:val="005E25A4"/>
    <w:rsid w:val="005E39FF"/>
    <w:rsid w:val="005E3AA6"/>
    <w:rsid w:val="005E40C1"/>
    <w:rsid w:val="005E500F"/>
    <w:rsid w:val="005E5CCA"/>
    <w:rsid w:val="005F006B"/>
    <w:rsid w:val="005F120E"/>
    <w:rsid w:val="005F1252"/>
    <w:rsid w:val="005F171A"/>
    <w:rsid w:val="005F2AAC"/>
    <w:rsid w:val="005F3A9D"/>
    <w:rsid w:val="005F4BA7"/>
    <w:rsid w:val="005F4D1F"/>
    <w:rsid w:val="005F5282"/>
    <w:rsid w:val="005F5DBD"/>
    <w:rsid w:val="005F771F"/>
    <w:rsid w:val="00603C55"/>
    <w:rsid w:val="00605975"/>
    <w:rsid w:val="00610F12"/>
    <w:rsid w:val="006114D3"/>
    <w:rsid w:val="0061267E"/>
    <w:rsid w:val="0061405E"/>
    <w:rsid w:val="006153E9"/>
    <w:rsid w:val="00615546"/>
    <w:rsid w:val="00616233"/>
    <w:rsid w:val="0061657D"/>
    <w:rsid w:val="00616A59"/>
    <w:rsid w:val="00616E6B"/>
    <w:rsid w:val="00616F5B"/>
    <w:rsid w:val="00616F74"/>
    <w:rsid w:val="006175C2"/>
    <w:rsid w:val="00621430"/>
    <w:rsid w:val="00622B8E"/>
    <w:rsid w:val="00623BC7"/>
    <w:rsid w:val="00623BEB"/>
    <w:rsid w:val="00625671"/>
    <w:rsid w:val="00626696"/>
    <w:rsid w:val="006269F8"/>
    <w:rsid w:val="0062769E"/>
    <w:rsid w:val="006302C9"/>
    <w:rsid w:val="0063055D"/>
    <w:rsid w:val="006310C5"/>
    <w:rsid w:val="00631680"/>
    <w:rsid w:val="00631BCE"/>
    <w:rsid w:val="0063230C"/>
    <w:rsid w:val="0063286A"/>
    <w:rsid w:val="00633FC6"/>
    <w:rsid w:val="00634171"/>
    <w:rsid w:val="00635327"/>
    <w:rsid w:val="006357A0"/>
    <w:rsid w:val="00635A6A"/>
    <w:rsid w:val="006366B1"/>
    <w:rsid w:val="00637019"/>
    <w:rsid w:val="006375E9"/>
    <w:rsid w:val="00640310"/>
    <w:rsid w:val="00640871"/>
    <w:rsid w:val="0064095C"/>
    <w:rsid w:val="00641B79"/>
    <w:rsid w:val="00642318"/>
    <w:rsid w:val="006432A0"/>
    <w:rsid w:val="0064337F"/>
    <w:rsid w:val="0064596F"/>
    <w:rsid w:val="006468CA"/>
    <w:rsid w:val="00650B68"/>
    <w:rsid w:val="00652845"/>
    <w:rsid w:val="00653559"/>
    <w:rsid w:val="00653755"/>
    <w:rsid w:val="00654C96"/>
    <w:rsid w:val="0065534A"/>
    <w:rsid w:val="00655485"/>
    <w:rsid w:val="00656900"/>
    <w:rsid w:val="00660E3E"/>
    <w:rsid w:val="0066158A"/>
    <w:rsid w:val="006634C9"/>
    <w:rsid w:val="00663AAA"/>
    <w:rsid w:val="00664028"/>
    <w:rsid w:val="00665255"/>
    <w:rsid w:val="00665BA1"/>
    <w:rsid w:val="00667719"/>
    <w:rsid w:val="00667A23"/>
    <w:rsid w:val="0067033C"/>
    <w:rsid w:val="00670591"/>
    <w:rsid w:val="0067072A"/>
    <w:rsid w:val="00672433"/>
    <w:rsid w:val="00672B9E"/>
    <w:rsid w:val="006738A9"/>
    <w:rsid w:val="00673919"/>
    <w:rsid w:val="006747D2"/>
    <w:rsid w:val="0067497D"/>
    <w:rsid w:val="00675001"/>
    <w:rsid w:val="0067521B"/>
    <w:rsid w:val="00675EF8"/>
    <w:rsid w:val="00677FA7"/>
    <w:rsid w:val="0068005E"/>
    <w:rsid w:val="00682511"/>
    <w:rsid w:val="00682618"/>
    <w:rsid w:val="0068350A"/>
    <w:rsid w:val="00683D16"/>
    <w:rsid w:val="00684DEC"/>
    <w:rsid w:val="00685B4F"/>
    <w:rsid w:val="006877DC"/>
    <w:rsid w:val="00690512"/>
    <w:rsid w:val="006947EF"/>
    <w:rsid w:val="006949B3"/>
    <w:rsid w:val="00695244"/>
    <w:rsid w:val="006975B5"/>
    <w:rsid w:val="006A06FD"/>
    <w:rsid w:val="006A135E"/>
    <w:rsid w:val="006A1A39"/>
    <w:rsid w:val="006A24AB"/>
    <w:rsid w:val="006A2520"/>
    <w:rsid w:val="006A36A6"/>
    <w:rsid w:val="006A3E82"/>
    <w:rsid w:val="006A4721"/>
    <w:rsid w:val="006A5436"/>
    <w:rsid w:val="006A5DA0"/>
    <w:rsid w:val="006A7F99"/>
    <w:rsid w:val="006B0363"/>
    <w:rsid w:val="006B0580"/>
    <w:rsid w:val="006B0977"/>
    <w:rsid w:val="006B0C5E"/>
    <w:rsid w:val="006B12B4"/>
    <w:rsid w:val="006B2BCC"/>
    <w:rsid w:val="006B4330"/>
    <w:rsid w:val="006B47EB"/>
    <w:rsid w:val="006B4880"/>
    <w:rsid w:val="006B48E3"/>
    <w:rsid w:val="006B7338"/>
    <w:rsid w:val="006B7904"/>
    <w:rsid w:val="006C0C2F"/>
    <w:rsid w:val="006C1317"/>
    <w:rsid w:val="006C1C94"/>
    <w:rsid w:val="006C22E3"/>
    <w:rsid w:val="006C373B"/>
    <w:rsid w:val="006C3E07"/>
    <w:rsid w:val="006C4620"/>
    <w:rsid w:val="006C69E6"/>
    <w:rsid w:val="006C728F"/>
    <w:rsid w:val="006C733C"/>
    <w:rsid w:val="006D0149"/>
    <w:rsid w:val="006D045A"/>
    <w:rsid w:val="006D0F48"/>
    <w:rsid w:val="006D13DB"/>
    <w:rsid w:val="006D22B0"/>
    <w:rsid w:val="006D3C1D"/>
    <w:rsid w:val="006D49BF"/>
    <w:rsid w:val="006D727E"/>
    <w:rsid w:val="006D7924"/>
    <w:rsid w:val="006D7D89"/>
    <w:rsid w:val="006E0066"/>
    <w:rsid w:val="006E0FF5"/>
    <w:rsid w:val="006E1C74"/>
    <w:rsid w:val="006E2A3D"/>
    <w:rsid w:val="006E2BE1"/>
    <w:rsid w:val="006E3E4D"/>
    <w:rsid w:val="006E4061"/>
    <w:rsid w:val="006E409A"/>
    <w:rsid w:val="006E4428"/>
    <w:rsid w:val="006F041F"/>
    <w:rsid w:val="006F111C"/>
    <w:rsid w:val="006F20EF"/>
    <w:rsid w:val="006F37BE"/>
    <w:rsid w:val="006F3872"/>
    <w:rsid w:val="006F39CC"/>
    <w:rsid w:val="006F3F59"/>
    <w:rsid w:val="006F490F"/>
    <w:rsid w:val="006F5B95"/>
    <w:rsid w:val="006F65DB"/>
    <w:rsid w:val="007023DD"/>
    <w:rsid w:val="00702F6B"/>
    <w:rsid w:val="00703765"/>
    <w:rsid w:val="00703A5D"/>
    <w:rsid w:val="0070428D"/>
    <w:rsid w:val="007045FC"/>
    <w:rsid w:val="00704693"/>
    <w:rsid w:val="00707180"/>
    <w:rsid w:val="00707B39"/>
    <w:rsid w:val="00707CD0"/>
    <w:rsid w:val="00710845"/>
    <w:rsid w:val="0071181C"/>
    <w:rsid w:val="00712A70"/>
    <w:rsid w:val="007133D0"/>
    <w:rsid w:val="00715946"/>
    <w:rsid w:val="00715A6A"/>
    <w:rsid w:val="00716402"/>
    <w:rsid w:val="0071642D"/>
    <w:rsid w:val="00716A76"/>
    <w:rsid w:val="007173D0"/>
    <w:rsid w:val="0072044B"/>
    <w:rsid w:val="00720DD5"/>
    <w:rsid w:val="00721FD5"/>
    <w:rsid w:val="00722849"/>
    <w:rsid w:val="00722948"/>
    <w:rsid w:val="00723077"/>
    <w:rsid w:val="00724C9D"/>
    <w:rsid w:val="0072571A"/>
    <w:rsid w:val="00726772"/>
    <w:rsid w:val="00726F5D"/>
    <w:rsid w:val="00727152"/>
    <w:rsid w:val="007271AB"/>
    <w:rsid w:val="007275B9"/>
    <w:rsid w:val="00731CF8"/>
    <w:rsid w:val="0073272A"/>
    <w:rsid w:val="0073596B"/>
    <w:rsid w:val="007373C1"/>
    <w:rsid w:val="0074192F"/>
    <w:rsid w:val="00741F72"/>
    <w:rsid w:val="0074298A"/>
    <w:rsid w:val="00743AFD"/>
    <w:rsid w:val="0074401F"/>
    <w:rsid w:val="00745726"/>
    <w:rsid w:val="00745883"/>
    <w:rsid w:val="00746755"/>
    <w:rsid w:val="00747243"/>
    <w:rsid w:val="0074727D"/>
    <w:rsid w:val="007474BA"/>
    <w:rsid w:val="0075107B"/>
    <w:rsid w:val="007527AA"/>
    <w:rsid w:val="00752BDD"/>
    <w:rsid w:val="0075375D"/>
    <w:rsid w:val="00761AAE"/>
    <w:rsid w:val="0076239B"/>
    <w:rsid w:val="0076267C"/>
    <w:rsid w:val="007632F1"/>
    <w:rsid w:val="00763544"/>
    <w:rsid w:val="00763AB8"/>
    <w:rsid w:val="00763DCE"/>
    <w:rsid w:val="007649F6"/>
    <w:rsid w:val="00765607"/>
    <w:rsid w:val="007672A5"/>
    <w:rsid w:val="007678B5"/>
    <w:rsid w:val="00770E89"/>
    <w:rsid w:val="00771896"/>
    <w:rsid w:val="007718BF"/>
    <w:rsid w:val="00772EFE"/>
    <w:rsid w:val="00773549"/>
    <w:rsid w:val="00773BBF"/>
    <w:rsid w:val="00775565"/>
    <w:rsid w:val="00776A8E"/>
    <w:rsid w:val="007773E6"/>
    <w:rsid w:val="00777EC4"/>
    <w:rsid w:val="00780A5B"/>
    <w:rsid w:val="00781587"/>
    <w:rsid w:val="00781C2F"/>
    <w:rsid w:val="00783233"/>
    <w:rsid w:val="00783C88"/>
    <w:rsid w:val="00784E1C"/>
    <w:rsid w:val="00785AA3"/>
    <w:rsid w:val="00785BCE"/>
    <w:rsid w:val="00786131"/>
    <w:rsid w:val="00786219"/>
    <w:rsid w:val="00787B00"/>
    <w:rsid w:val="00787B53"/>
    <w:rsid w:val="007902E8"/>
    <w:rsid w:val="007915FA"/>
    <w:rsid w:val="007921A8"/>
    <w:rsid w:val="00792C6F"/>
    <w:rsid w:val="00792C84"/>
    <w:rsid w:val="00793F14"/>
    <w:rsid w:val="00794ADE"/>
    <w:rsid w:val="00797990"/>
    <w:rsid w:val="007A0294"/>
    <w:rsid w:val="007A13D8"/>
    <w:rsid w:val="007A1A29"/>
    <w:rsid w:val="007A1EC9"/>
    <w:rsid w:val="007A79CA"/>
    <w:rsid w:val="007B0350"/>
    <w:rsid w:val="007B0844"/>
    <w:rsid w:val="007B0E32"/>
    <w:rsid w:val="007B1717"/>
    <w:rsid w:val="007B1D9B"/>
    <w:rsid w:val="007B1FFD"/>
    <w:rsid w:val="007B2A34"/>
    <w:rsid w:val="007B4833"/>
    <w:rsid w:val="007B6924"/>
    <w:rsid w:val="007C453F"/>
    <w:rsid w:val="007C4A03"/>
    <w:rsid w:val="007C4EF9"/>
    <w:rsid w:val="007C5463"/>
    <w:rsid w:val="007C5832"/>
    <w:rsid w:val="007C608E"/>
    <w:rsid w:val="007C6AAE"/>
    <w:rsid w:val="007C6B5A"/>
    <w:rsid w:val="007C76FB"/>
    <w:rsid w:val="007C7E0A"/>
    <w:rsid w:val="007D288B"/>
    <w:rsid w:val="007D3696"/>
    <w:rsid w:val="007D46E1"/>
    <w:rsid w:val="007D494F"/>
    <w:rsid w:val="007D4C22"/>
    <w:rsid w:val="007D5541"/>
    <w:rsid w:val="007D58B7"/>
    <w:rsid w:val="007D6957"/>
    <w:rsid w:val="007D7B08"/>
    <w:rsid w:val="007E1828"/>
    <w:rsid w:val="007E1A6E"/>
    <w:rsid w:val="007E1E7A"/>
    <w:rsid w:val="007E2734"/>
    <w:rsid w:val="007E2864"/>
    <w:rsid w:val="007E3B01"/>
    <w:rsid w:val="007E3E09"/>
    <w:rsid w:val="007E3FC1"/>
    <w:rsid w:val="007E4B10"/>
    <w:rsid w:val="007E55D8"/>
    <w:rsid w:val="007E5864"/>
    <w:rsid w:val="007E5E6D"/>
    <w:rsid w:val="007E6C3E"/>
    <w:rsid w:val="007F03BE"/>
    <w:rsid w:val="007F1250"/>
    <w:rsid w:val="007F4015"/>
    <w:rsid w:val="007F4B6B"/>
    <w:rsid w:val="007F6C50"/>
    <w:rsid w:val="00801A35"/>
    <w:rsid w:val="00802690"/>
    <w:rsid w:val="00804653"/>
    <w:rsid w:val="0080497E"/>
    <w:rsid w:val="00804BEF"/>
    <w:rsid w:val="00805B64"/>
    <w:rsid w:val="00805E41"/>
    <w:rsid w:val="008060A1"/>
    <w:rsid w:val="00807108"/>
    <w:rsid w:val="00807204"/>
    <w:rsid w:val="00807D06"/>
    <w:rsid w:val="00813367"/>
    <w:rsid w:val="00814511"/>
    <w:rsid w:val="00814AF6"/>
    <w:rsid w:val="00816983"/>
    <w:rsid w:val="00820C49"/>
    <w:rsid w:val="008213CF"/>
    <w:rsid w:val="0082140D"/>
    <w:rsid w:val="00821898"/>
    <w:rsid w:val="0082192F"/>
    <w:rsid w:val="008228BE"/>
    <w:rsid w:val="00822AB4"/>
    <w:rsid w:val="00823E2B"/>
    <w:rsid w:val="00824D29"/>
    <w:rsid w:val="008275D3"/>
    <w:rsid w:val="00827A24"/>
    <w:rsid w:val="00830C4F"/>
    <w:rsid w:val="00831627"/>
    <w:rsid w:val="00831B84"/>
    <w:rsid w:val="00832347"/>
    <w:rsid w:val="00834066"/>
    <w:rsid w:val="00834A46"/>
    <w:rsid w:val="0083615B"/>
    <w:rsid w:val="008371CD"/>
    <w:rsid w:val="008402F3"/>
    <w:rsid w:val="008403FB"/>
    <w:rsid w:val="008465B6"/>
    <w:rsid w:val="008466B8"/>
    <w:rsid w:val="008473D8"/>
    <w:rsid w:val="0085005E"/>
    <w:rsid w:val="008515CE"/>
    <w:rsid w:val="008529F0"/>
    <w:rsid w:val="00853B43"/>
    <w:rsid w:val="00854181"/>
    <w:rsid w:val="00854A1B"/>
    <w:rsid w:val="00855C4C"/>
    <w:rsid w:val="00855DE0"/>
    <w:rsid w:val="00856E5D"/>
    <w:rsid w:val="00857E40"/>
    <w:rsid w:val="00861588"/>
    <w:rsid w:val="00862752"/>
    <w:rsid w:val="00862B40"/>
    <w:rsid w:val="0086383D"/>
    <w:rsid w:val="00865B2D"/>
    <w:rsid w:val="00866C5E"/>
    <w:rsid w:val="00870AC9"/>
    <w:rsid w:val="008712A5"/>
    <w:rsid w:val="00871CA7"/>
    <w:rsid w:val="00871F58"/>
    <w:rsid w:val="00872B73"/>
    <w:rsid w:val="00874C99"/>
    <w:rsid w:val="00874E11"/>
    <w:rsid w:val="0087651F"/>
    <w:rsid w:val="008767D5"/>
    <w:rsid w:val="00876AA7"/>
    <w:rsid w:val="008772B7"/>
    <w:rsid w:val="0087751B"/>
    <w:rsid w:val="00880398"/>
    <w:rsid w:val="00880454"/>
    <w:rsid w:val="00882528"/>
    <w:rsid w:val="008829EC"/>
    <w:rsid w:val="00882CE5"/>
    <w:rsid w:val="00882E68"/>
    <w:rsid w:val="00883C72"/>
    <w:rsid w:val="00883FF2"/>
    <w:rsid w:val="00884411"/>
    <w:rsid w:val="0088536D"/>
    <w:rsid w:val="00886F6D"/>
    <w:rsid w:val="0088768D"/>
    <w:rsid w:val="00887A97"/>
    <w:rsid w:val="00890777"/>
    <w:rsid w:val="00891029"/>
    <w:rsid w:val="008918F0"/>
    <w:rsid w:val="00892ED2"/>
    <w:rsid w:val="00892F12"/>
    <w:rsid w:val="00893975"/>
    <w:rsid w:val="00893AB0"/>
    <w:rsid w:val="00894A2C"/>
    <w:rsid w:val="00895223"/>
    <w:rsid w:val="00895297"/>
    <w:rsid w:val="00895ED7"/>
    <w:rsid w:val="0089662B"/>
    <w:rsid w:val="00897F13"/>
    <w:rsid w:val="008A1BDC"/>
    <w:rsid w:val="008A2062"/>
    <w:rsid w:val="008A2E7E"/>
    <w:rsid w:val="008A3F9A"/>
    <w:rsid w:val="008A54A3"/>
    <w:rsid w:val="008A54E9"/>
    <w:rsid w:val="008A5545"/>
    <w:rsid w:val="008A6818"/>
    <w:rsid w:val="008A7823"/>
    <w:rsid w:val="008B0484"/>
    <w:rsid w:val="008B22B7"/>
    <w:rsid w:val="008B2881"/>
    <w:rsid w:val="008B3DAC"/>
    <w:rsid w:val="008B6CA2"/>
    <w:rsid w:val="008B785E"/>
    <w:rsid w:val="008C02E3"/>
    <w:rsid w:val="008C073E"/>
    <w:rsid w:val="008C0B59"/>
    <w:rsid w:val="008C207F"/>
    <w:rsid w:val="008C2723"/>
    <w:rsid w:val="008C4B9C"/>
    <w:rsid w:val="008C4C4A"/>
    <w:rsid w:val="008C5AD3"/>
    <w:rsid w:val="008C62B4"/>
    <w:rsid w:val="008C63E4"/>
    <w:rsid w:val="008C6E23"/>
    <w:rsid w:val="008C6F09"/>
    <w:rsid w:val="008C7D53"/>
    <w:rsid w:val="008D0A52"/>
    <w:rsid w:val="008D211D"/>
    <w:rsid w:val="008D228E"/>
    <w:rsid w:val="008D2FE4"/>
    <w:rsid w:val="008D3834"/>
    <w:rsid w:val="008D3C25"/>
    <w:rsid w:val="008D5A58"/>
    <w:rsid w:val="008D5FCE"/>
    <w:rsid w:val="008D6214"/>
    <w:rsid w:val="008D6C6D"/>
    <w:rsid w:val="008D7377"/>
    <w:rsid w:val="008E1DEF"/>
    <w:rsid w:val="008E27AA"/>
    <w:rsid w:val="008E5BD6"/>
    <w:rsid w:val="008E5C99"/>
    <w:rsid w:val="008E7362"/>
    <w:rsid w:val="008F0284"/>
    <w:rsid w:val="008F1130"/>
    <w:rsid w:val="008F1476"/>
    <w:rsid w:val="008F17EE"/>
    <w:rsid w:val="008F18A5"/>
    <w:rsid w:val="008F2320"/>
    <w:rsid w:val="008F272C"/>
    <w:rsid w:val="008F2B1E"/>
    <w:rsid w:val="008F4962"/>
    <w:rsid w:val="008F62EB"/>
    <w:rsid w:val="008F6707"/>
    <w:rsid w:val="008F7059"/>
    <w:rsid w:val="008F7190"/>
    <w:rsid w:val="008F7377"/>
    <w:rsid w:val="008F7727"/>
    <w:rsid w:val="008F7853"/>
    <w:rsid w:val="00901328"/>
    <w:rsid w:val="0090167B"/>
    <w:rsid w:val="00901942"/>
    <w:rsid w:val="0090219B"/>
    <w:rsid w:val="00902B04"/>
    <w:rsid w:val="00903B26"/>
    <w:rsid w:val="009072AB"/>
    <w:rsid w:val="00912502"/>
    <w:rsid w:val="009126AC"/>
    <w:rsid w:val="00912BA1"/>
    <w:rsid w:val="00913E31"/>
    <w:rsid w:val="00914077"/>
    <w:rsid w:val="00914C4A"/>
    <w:rsid w:val="009169E5"/>
    <w:rsid w:val="0091782D"/>
    <w:rsid w:val="0091797B"/>
    <w:rsid w:val="00921457"/>
    <w:rsid w:val="00922E6C"/>
    <w:rsid w:val="00922E78"/>
    <w:rsid w:val="0092375C"/>
    <w:rsid w:val="009243A4"/>
    <w:rsid w:val="00925113"/>
    <w:rsid w:val="0092570C"/>
    <w:rsid w:val="009261D8"/>
    <w:rsid w:val="009263FF"/>
    <w:rsid w:val="00926B74"/>
    <w:rsid w:val="00931B94"/>
    <w:rsid w:val="00931D6D"/>
    <w:rsid w:val="00932D68"/>
    <w:rsid w:val="00933289"/>
    <w:rsid w:val="009339B9"/>
    <w:rsid w:val="00933E57"/>
    <w:rsid w:val="00934686"/>
    <w:rsid w:val="0093540B"/>
    <w:rsid w:val="009366EC"/>
    <w:rsid w:val="009372D3"/>
    <w:rsid w:val="00940274"/>
    <w:rsid w:val="00940DCF"/>
    <w:rsid w:val="0094129E"/>
    <w:rsid w:val="00941308"/>
    <w:rsid w:val="00941A88"/>
    <w:rsid w:val="00941C43"/>
    <w:rsid w:val="009425F6"/>
    <w:rsid w:val="009429AB"/>
    <w:rsid w:val="00942BCA"/>
    <w:rsid w:val="0094372F"/>
    <w:rsid w:val="0094383F"/>
    <w:rsid w:val="00943B86"/>
    <w:rsid w:val="0094435A"/>
    <w:rsid w:val="00944857"/>
    <w:rsid w:val="0094614E"/>
    <w:rsid w:val="009465ED"/>
    <w:rsid w:val="0094660C"/>
    <w:rsid w:val="00946CF3"/>
    <w:rsid w:val="009474DA"/>
    <w:rsid w:val="0095097D"/>
    <w:rsid w:val="0095160E"/>
    <w:rsid w:val="009518F1"/>
    <w:rsid w:val="00951D02"/>
    <w:rsid w:val="0095446C"/>
    <w:rsid w:val="0095532F"/>
    <w:rsid w:val="00956462"/>
    <w:rsid w:val="00956AE4"/>
    <w:rsid w:val="00961B43"/>
    <w:rsid w:val="00962636"/>
    <w:rsid w:val="00962CBB"/>
    <w:rsid w:val="00966AB9"/>
    <w:rsid w:val="00967105"/>
    <w:rsid w:val="009700BB"/>
    <w:rsid w:val="009709DC"/>
    <w:rsid w:val="00970B45"/>
    <w:rsid w:val="009710A0"/>
    <w:rsid w:val="00972333"/>
    <w:rsid w:val="009723FA"/>
    <w:rsid w:val="0097385B"/>
    <w:rsid w:val="0097452A"/>
    <w:rsid w:val="00975BC1"/>
    <w:rsid w:val="00976B16"/>
    <w:rsid w:val="009805B8"/>
    <w:rsid w:val="009839A2"/>
    <w:rsid w:val="009854F2"/>
    <w:rsid w:val="00985C1F"/>
    <w:rsid w:val="00987745"/>
    <w:rsid w:val="00990B68"/>
    <w:rsid w:val="00990BE7"/>
    <w:rsid w:val="00990CA6"/>
    <w:rsid w:val="009912FB"/>
    <w:rsid w:val="00992CB2"/>
    <w:rsid w:val="0099343C"/>
    <w:rsid w:val="009941BB"/>
    <w:rsid w:val="0099518B"/>
    <w:rsid w:val="00995633"/>
    <w:rsid w:val="00995BE7"/>
    <w:rsid w:val="009973D0"/>
    <w:rsid w:val="00997805"/>
    <w:rsid w:val="00997F20"/>
    <w:rsid w:val="009A0482"/>
    <w:rsid w:val="009A221F"/>
    <w:rsid w:val="009A29BD"/>
    <w:rsid w:val="009A33CD"/>
    <w:rsid w:val="009A3EC5"/>
    <w:rsid w:val="009A3EDE"/>
    <w:rsid w:val="009A544B"/>
    <w:rsid w:val="009A55C8"/>
    <w:rsid w:val="009A6F1C"/>
    <w:rsid w:val="009A6F76"/>
    <w:rsid w:val="009A74F8"/>
    <w:rsid w:val="009A7C54"/>
    <w:rsid w:val="009B0B66"/>
    <w:rsid w:val="009B0E23"/>
    <w:rsid w:val="009B0F8C"/>
    <w:rsid w:val="009B108F"/>
    <w:rsid w:val="009B13DF"/>
    <w:rsid w:val="009B15D0"/>
    <w:rsid w:val="009B16EF"/>
    <w:rsid w:val="009B179B"/>
    <w:rsid w:val="009B1CC2"/>
    <w:rsid w:val="009B3069"/>
    <w:rsid w:val="009B387A"/>
    <w:rsid w:val="009B3CBB"/>
    <w:rsid w:val="009B5481"/>
    <w:rsid w:val="009B6388"/>
    <w:rsid w:val="009B67C8"/>
    <w:rsid w:val="009C160D"/>
    <w:rsid w:val="009C1B56"/>
    <w:rsid w:val="009C4091"/>
    <w:rsid w:val="009C43CA"/>
    <w:rsid w:val="009C4541"/>
    <w:rsid w:val="009C4B2E"/>
    <w:rsid w:val="009C6CEB"/>
    <w:rsid w:val="009C6DF5"/>
    <w:rsid w:val="009C70B4"/>
    <w:rsid w:val="009C7A8F"/>
    <w:rsid w:val="009D0882"/>
    <w:rsid w:val="009D0994"/>
    <w:rsid w:val="009D1450"/>
    <w:rsid w:val="009D1D99"/>
    <w:rsid w:val="009D1E6E"/>
    <w:rsid w:val="009D390D"/>
    <w:rsid w:val="009D3B61"/>
    <w:rsid w:val="009D44DE"/>
    <w:rsid w:val="009D4770"/>
    <w:rsid w:val="009D4784"/>
    <w:rsid w:val="009D4D72"/>
    <w:rsid w:val="009D4E22"/>
    <w:rsid w:val="009D6446"/>
    <w:rsid w:val="009D6B90"/>
    <w:rsid w:val="009D73EB"/>
    <w:rsid w:val="009E0BA5"/>
    <w:rsid w:val="009E1B54"/>
    <w:rsid w:val="009E23FE"/>
    <w:rsid w:val="009E2A2F"/>
    <w:rsid w:val="009E3A0A"/>
    <w:rsid w:val="009E40C0"/>
    <w:rsid w:val="009E43A4"/>
    <w:rsid w:val="009E60C4"/>
    <w:rsid w:val="009E761B"/>
    <w:rsid w:val="009E7B56"/>
    <w:rsid w:val="009F08EF"/>
    <w:rsid w:val="009F1A4C"/>
    <w:rsid w:val="009F1DB8"/>
    <w:rsid w:val="009F5B9E"/>
    <w:rsid w:val="00A00226"/>
    <w:rsid w:val="00A00E7A"/>
    <w:rsid w:val="00A01468"/>
    <w:rsid w:val="00A01A11"/>
    <w:rsid w:val="00A0381F"/>
    <w:rsid w:val="00A04989"/>
    <w:rsid w:val="00A04A96"/>
    <w:rsid w:val="00A06230"/>
    <w:rsid w:val="00A0639A"/>
    <w:rsid w:val="00A0669F"/>
    <w:rsid w:val="00A101F1"/>
    <w:rsid w:val="00A10CF7"/>
    <w:rsid w:val="00A114A5"/>
    <w:rsid w:val="00A11B2E"/>
    <w:rsid w:val="00A125EE"/>
    <w:rsid w:val="00A13446"/>
    <w:rsid w:val="00A135EF"/>
    <w:rsid w:val="00A139DC"/>
    <w:rsid w:val="00A15261"/>
    <w:rsid w:val="00A168D7"/>
    <w:rsid w:val="00A20182"/>
    <w:rsid w:val="00A23A18"/>
    <w:rsid w:val="00A25635"/>
    <w:rsid w:val="00A257B9"/>
    <w:rsid w:val="00A26A4C"/>
    <w:rsid w:val="00A27320"/>
    <w:rsid w:val="00A3008E"/>
    <w:rsid w:val="00A30B81"/>
    <w:rsid w:val="00A30D7C"/>
    <w:rsid w:val="00A310F7"/>
    <w:rsid w:val="00A31E10"/>
    <w:rsid w:val="00A329D7"/>
    <w:rsid w:val="00A345FB"/>
    <w:rsid w:val="00A358B8"/>
    <w:rsid w:val="00A36550"/>
    <w:rsid w:val="00A365A2"/>
    <w:rsid w:val="00A37455"/>
    <w:rsid w:val="00A375CA"/>
    <w:rsid w:val="00A4093A"/>
    <w:rsid w:val="00A40B87"/>
    <w:rsid w:val="00A413FF"/>
    <w:rsid w:val="00A435AA"/>
    <w:rsid w:val="00A46DE8"/>
    <w:rsid w:val="00A47184"/>
    <w:rsid w:val="00A47810"/>
    <w:rsid w:val="00A4789A"/>
    <w:rsid w:val="00A47E12"/>
    <w:rsid w:val="00A510E4"/>
    <w:rsid w:val="00A522D2"/>
    <w:rsid w:val="00A52A90"/>
    <w:rsid w:val="00A52FCD"/>
    <w:rsid w:val="00A53CCA"/>
    <w:rsid w:val="00A540F9"/>
    <w:rsid w:val="00A5521F"/>
    <w:rsid w:val="00A55714"/>
    <w:rsid w:val="00A5672A"/>
    <w:rsid w:val="00A568CD"/>
    <w:rsid w:val="00A57A31"/>
    <w:rsid w:val="00A60590"/>
    <w:rsid w:val="00A61363"/>
    <w:rsid w:val="00A6177E"/>
    <w:rsid w:val="00A61C35"/>
    <w:rsid w:val="00A620F7"/>
    <w:rsid w:val="00A62B4A"/>
    <w:rsid w:val="00A636B9"/>
    <w:rsid w:val="00A6446D"/>
    <w:rsid w:val="00A6455D"/>
    <w:rsid w:val="00A64AE0"/>
    <w:rsid w:val="00A65018"/>
    <w:rsid w:val="00A65615"/>
    <w:rsid w:val="00A675CE"/>
    <w:rsid w:val="00A70D65"/>
    <w:rsid w:val="00A71F34"/>
    <w:rsid w:val="00A73CBA"/>
    <w:rsid w:val="00A73D33"/>
    <w:rsid w:val="00A757F4"/>
    <w:rsid w:val="00A76D49"/>
    <w:rsid w:val="00A77F8A"/>
    <w:rsid w:val="00A81368"/>
    <w:rsid w:val="00A819B7"/>
    <w:rsid w:val="00A825EF"/>
    <w:rsid w:val="00A82EC2"/>
    <w:rsid w:val="00A8304D"/>
    <w:rsid w:val="00A842C2"/>
    <w:rsid w:val="00A86454"/>
    <w:rsid w:val="00A879CE"/>
    <w:rsid w:val="00A87B92"/>
    <w:rsid w:val="00A87C7A"/>
    <w:rsid w:val="00A924F9"/>
    <w:rsid w:val="00A929F1"/>
    <w:rsid w:val="00A92C69"/>
    <w:rsid w:val="00A94378"/>
    <w:rsid w:val="00A94BBD"/>
    <w:rsid w:val="00A952C8"/>
    <w:rsid w:val="00A95C88"/>
    <w:rsid w:val="00A95E9E"/>
    <w:rsid w:val="00A96CA5"/>
    <w:rsid w:val="00A97BCF"/>
    <w:rsid w:val="00AA1556"/>
    <w:rsid w:val="00AA1AC0"/>
    <w:rsid w:val="00AA6D4D"/>
    <w:rsid w:val="00AA7625"/>
    <w:rsid w:val="00AB4BAC"/>
    <w:rsid w:val="00AB5396"/>
    <w:rsid w:val="00AB54D9"/>
    <w:rsid w:val="00AB6535"/>
    <w:rsid w:val="00AB6F48"/>
    <w:rsid w:val="00AB76F5"/>
    <w:rsid w:val="00AC1A37"/>
    <w:rsid w:val="00AC3B78"/>
    <w:rsid w:val="00AC6A5D"/>
    <w:rsid w:val="00AC7050"/>
    <w:rsid w:val="00AD3769"/>
    <w:rsid w:val="00AD39D5"/>
    <w:rsid w:val="00AD3A76"/>
    <w:rsid w:val="00AD51AC"/>
    <w:rsid w:val="00AD570A"/>
    <w:rsid w:val="00AD6900"/>
    <w:rsid w:val="00AD6BD4"/>
    <w:rsid w:val="00AD7427"/>
    <w:rsid w:val="00AE0789"/>
    <w:rsid w:val="00AE07C4"/>
    <w:rsid w:val="00AE4EB9"/>
    <w:rsid w:val="00AE642D"/>
    <w:rsid w:val="00AE69E9"/>
    <w:rsid w:val="00AE6B91"/>
    <w:rsid w:val="00AE74B0"/>
    <w:rsid w:val="00AE7B5D"/>
    <w:rsid w:val="00AF1157"/>
    <w:rsid w:val="00AF130D"/>
    <w:rsid w:val="00AF1364"/>
    <w:rsid w:val="00AF1750"/>
    <w:rsid w:val="00AF29C9"/>
    <w:rsid w:val="00AF2FA0"/>
    <w:rsid w:val="00AF36AF"/>
    <w:rsid w:val="00AF3983"/>
    <w:rsid w:val="00AF3C22"/>
    <w:rsid w:val="00AF3CF9"/>
    <w:rsid w:val="00AF467A"/>
    <w:rsid w:val="00AF542A"/>
    <w:rsid w:val="00AF59C7"/>
    <w:rsid w:val="00AF64B9"/>
    <w:rsid w:val="00B00634"/>
    <w:rsid w:val="00B0213D"/>
    <w:rsid w:val="00B0486E"/>
    <w:rsid w:val="00B056BC"/>
    <w:rsid w:val="00B05F0C"/>
    <w:rsid w:val="00B07677"/>
    <w:rsid w:val="00B103E0"/>
    <w:rsid w:val="00B10646"/>
    <w:rsid w:val="00B11EE6"/>
    <w:rsid w:val="00B12D8E"/>
    <w:rsid w:val="00B14B1D"/>
    <w:rsid w:val="00B156BF"/>
    <w:rsid w:val="00B15D36"/>
    <w:rsid w:val="00B15D90"/>
    <w:rsid w:val="00B177AF"/>
    <w:rsid w:val="00B17B68"/>
    <w:rsid w:val="00B20EE7"/>
    <w:rsid w:val="00B20F11"/>
    <w:rsid w:val="00B21232"/>
    <w:rsid w:val="00B227F9"/>
    <w:rsid w:val="00B2383A"/>
    <w:rsid w:val="00B2398B"/>
    <w:rsid w:val="00B23AE6"/>
    <w:rsid w:val="00B25CC6"/>
    <w:rsid w:val="00B260A0"/>
    <w:rsid w:val="00B261DB"/>
    <w:rsid w:val="00B318D7"/>
    <w:rsid w:val="00B32099"/>
    <w:rsid w:val="00B3404F"/>
    <w:rsid w:val="00B34211"/>
    <w:rsid w:val="00B347AA"/>
    <w:rsid w:val="00B34B85"/>
    <w:rsid w:val="00B35B3E"/>
    <w:rsid w:val="00B3648B"/>
    <w:rsid w:val="00B36759"/>
    <w:rsid w:val="00B3772E"/>
    <w:rsid w:val="00B4222F"/>
    <w:rsid w:val="00B429C5"/>
    <w:rsid w:val="00B43B3C"/>
    <w:rsid w:val="00B441F4"/>
    <w:rsid w:val="00B447AD"/>
    <w:rsid w:val="00B44B91"/>
    <w:rsid w:val="00B45B47"/>
    <w:rsid w:val="00B45D8B"/>
    <w:rsid w:val="00B47B8A"/>
    <w:rsid w:val="00B5041A"/>
    <w:rsid w:val="00B50D97"/>
    <w:rsid w:val="00B54AB1"/>
    <w:rsid w:val="00B55845"/>
    <w:rsid w:val="00B55A7A"/>
    <w:rsid w:val="00B55F76"/>
    <w:rsid w:val="00B56F54"/>
    <w:rsid w:val="00B571CA"/>
    <w:rsid w:val="00B614F2"/>
    <w:rsid w:val="00B62E97"/>
    <w:rsid w:val="00B637BB"/>
    <w:rsid w:val="00B63F87"/>
    <w:rsid w:val="00B65CB1"/>
    <w:rsid w:val="00B676E1"/>
    <w:rsid w:val="00B67F66"/>
    <w:rsid w:val="00B7090F"/>
    <w:rsid w:val="00B72069"/>
    <w:rsid w:val="00B72613"/>
    <w:rsid w:val="00B742B9"/>
    <w:rsid w:val="00B74C22"/>
    <w:rsid w:val="00B74DA7"/>
    <w:rsid w:val="00B750E9"/>
    <w:rsid w:val="00B76108"/>
    <w:rsid w:val="00B7648C"/>
    <w:rsid w:val="00B80A7B"/>
    <w:rsid w:val="00B80BC1"/>
    <w:rsid w:val="00B81C05"/>
    <w:rsid w:val="00B81F37"/>
    <w:rsid w:val="00B82397"/>
    <w:rsid w:val="00B824B3"/>
    <w:rsid w:val="00B82C02"/>
    <w:rsid w:val="00B831F1"/>
    <w:rsid w:val="00B8640E"/>
    <w:rsid w:val="00B865FC"/>
    <w:rsid w:val="00B86AD5"/>
    <w:rsid w:val="00B876DA"/>
    <w:rsid w:val="00B87E8F"/>
    <w:rsid w:val="00B90E68"/>
    <w:rsid w:val="00B91A90"/>
    <w:rsid w:val="00B91EEC"/>
    <w:rsid w:val="00B924DF"/>
    <w:rsid w:val="00B9558D"/>
    <w:rsid w:val="00B9574F"/>
    <w:rsid w:val="00B95F4C"/>
    <w:rsid w:val="00B9642D"/>
    <w:rsid w:val="00B976CE"/>
    <w:rsid w:val="00BA2FC1"/>
    <w:rsid w:val="00BA42B6"/>
    <w:rsid w:val="00BA46D8"/>
    <w:rsid w:val="00BA5BE4"/>
    <w:rsid w:val="00BA6861"/>
    <w:rsid w:val="00BA7C17"/>
    <w:rsid w:val="00BA7F0D"/>
    <w:rsid w:val="00BB19CA"/>
    <w:rsid w:val="00BB354B"/>
    <w:rsid w:val="00BB51D1"/>
    <w:rsid w:val="00BB7571"/>
    <w:rsid w:val="00BB7A42"/>
    <w:rsid w:val="00BB7FF1"/>
    <w:rsid w:val="00BC1C6B"/>
    <w:rsid w:val="00BC2063"/>
    <w:rsid w:val="00BC2653"/>
    <w:rsid w:val="00BC2C19"/>
    <w:rsid w:val="00BC3283"/>
    <w:rsid w:val="00BC4A1B"/>
    <w:rsid w:val="00BC5A24"/>
    <w:rsid w:val="00BC6416"/>
    <w:rsid w:val="00BC6EF0"/>
    <w:rsid w:val="00BD042F"/>
    <w:rsid w:val="00BD0CE0"/>
    <w:rsid w:val="00BD122C"/>
    <w:rsid w:val="00BD1899"/>
    <w:rsid w:val="00BD1E61"/>
    <w:rsid w:val="00BD2994"/>
    <w:rsid w:val="00BD34C1"/>
    <w:rsid w:val="00BD403C"/>
    <w:rsid w:val="00BD5D2B"/>
    <w:rsid w:val="00BD5D3F"/>
    <w:rsid w:val="00BD6765"/>
    <w:rsid w:val="00BE0284"/>
    <w:rsid w:val="00BE0694"/>
    <w:rsid w:val="00BE0B99"/>
    <w:rsid w:val="00BE1E4F"/>
    <w:rsid w:val="00BE3CB0"/>
    <w:rsid w:val="00BE50B9"/>
    <w:rsid w:val="00BE60DF"/>
    <w:rsid w:val="00BE646C"/>
    <w:rsid w:val="00BE77F8"/>
    <w:rsid w:val="00BE7CE5"/>
    <w:rsid w:val="00BF0915"/>
    <w:rsid w:val="00BF2554"/>
    <w:rsid w:val="00BF31FB"/>
    <w:rsid w:val="00BF42AE"/>
    <w:rsid w:val="00BF42E4"/>
    <w:rsid w:val="00BF4985"/>
    <w:rsid w:val="00BF4EC6"/>
    <w:rsid w:val="00BF702A"/>
    <w:rsid w:val="00C007AE"/>
    <w:rsid w:val="00C008FF"/>
    <w:rsid w:val="00C01155"/>
    <w:rsid w:val="00C01C66"/>
    <w:rsid w:val="00C0231D"/>
    <w:rsid w:val="00C02429"/>
    <w:rsid w:val="00C02CFE"/>
    <w:rsid w:val="00C03D21"/>
    <w:rsid w:val="00C0639E"/>
    <w:rsid w:val="00C06895"/>
    <w:rsid w:val="00C07476"/>
    <w:rsid w:val="00C1040B"/>
    <w:rsid w:val="00C138EC"/>
    <w:rsid w:val="00C14142"/>
    <w:rsid w:val="00C16885"/>
    <w:rsid w:val="00C1699D"/>
    <w:rsid w:val="00C16B20"/>
    <w:rsid w:val="00C17220"/>
    <w:rsid w:val="00C20347"/>
    <w:rsid w:val="00C20AF8"/>
    <w:rsid w:val="00C21282"/>
    <w:rsid w:val="00C21364"/>
    <w:rsid w:val="00C22C2E"/>
    <w:rsid w:val="00C23030"/>
    <w:rsid w:val="00C24E16"/>
    <w:rsid w:val="00C250AB"/>
    <w:rsid w:val="00C255F5"/>
    <w:rsid w:val="00C25C72"/>
    <w:rsid w:val="00C278D5"/>
    <w:rsid w:val="00C27FC9"/>
    <w:rsid w:val="00C31423"/>
    <w:rsid w:val="00C3149C"/>
    <w:rsid w:val="00C315DA"/>
    <w:rsid w:val="00C329AA"/>
    <w:rsid w:val="00C33697"/>
    <w:rsid w:val="00C346C6"/>
    <w:rsid w:val="00C35AC9"/>
    <w:rsid w:val="00C375BA"/>
    <w:rsid w:val="00C377E8"/>
    <w:rsid w:val="00C37958"/>
    <w:rsid w:val="00C42685"/>
    <w:rsid w:val="00C42C58"/>
    <w:rsid w:val="00C43BC0"/>
    <w:rsid w:val="00C44974"/>
    <w:rsid w:val="00C456CD"/>
    <w:rsid w:val="00C52020"/>
    <w:rsid w:val="00C54F3C"/>
    <w:rsid w:val="00C54F8E"/>
    <w:rsid w:val="00C5639F"/>
    <w:rsid w:val="00C57811"/>
    <w:rsid w:val="00C60256"/>
    <w:rsid w:val="00C6070C"/>
    <w:rsid w:val="00C60A81"/>
    <w:rsid w:val="00C614E5"/>
    <w:rsid w:val="00C61E4D"/>
    <w:rsid w:val="00C63ABF"/>
    <w:rsid w:val="00C63C42"/>
    <w:rsid w:val="00C64141"/>
    <w:rsid w:val="00C64C46"/>
    <w:rsid w:val="00C67D06"/>
    <w:rsid w:val="00C702BC"/>
    <w:rsid w:val="00C724C2"/>
    <w:rsid w:val="00C7356C"/>
    <w:rsid w:val="00C74274"/>
    <w:rsid w:val="00C80CC7"/>
    <w:rsid w:val="00C82AD3"/>
    <w:rsid w:val="00C837E3"/>
    <w:rsid w:val="00C84269"/>
    <w:rsid w:val="00C848BE"/>
    <w:rsid w:val="00C849D7"/>
    <w:rsid w:val="00C85492"/>
    <w:rsid w:val="00C85808"/>
    <w:rsid w:val="00C85B69"/>
    <w:rsid w:val="00C874EC"/>
    <w:rsid w:val="00C8760D"/>
    <w:rsid w:val="00C87654"/>
    <w:rsid w:val="00C908E0"/>
    <w:rsid w:val="00C91B61"/>
    <w:rsid w:val="00C92068"/>
    <w:rsid w:val="00C9378B"/>
    <w:rsid w:val="00C93CD0"/>
    <w:rsid w:val="00C942A5"/>
    <w:rsid w:val="00C971BA"/>
    <w:rsid w:val="00C9779E"/>
    <w:rsid w:val="00CA0F0F"/>
    <w:rsid w:val="00CA2921"/>
    <w:rsid w:val="00CA2E29"/>
    <w:rsid w:val="00CA2F0F"/>
    <w:rsid w:val="00CA30DB"/>
    <w:rsid w:val="00CA4558"/>
    <w:rsid w:val="00CA4AB3"/>
    <w:rsid w:val="00CA5DA8"/>
    <w:rsid w:val="00CA639A"/>
    <w:rsid w:val="00CA68DD"/>
    <w:rsid w:val="00CA724D"/>
    <w:rsid w:val="00CB048B"/>
    <w:rsid w:val="00CB0998"/>
    <w:rsid w:val="00CB3467"/>
    <w:rsid w:val="00CB37B2"/>
    <w:rsid w:val="00CB3A4B"/>
    <w:rsid w:val="00CB4808"/>
    <w:rsid w:val="00CB582A"/>
    <w:rsid w:val="00CB674D"/>
    <w:rsid w:val="00CB7670"/>
    <w:rsid w:val="00CB7CE7"/>
    <w:rsid w:val="00CC1AD8"/>
    <w:rsid w:val="00CC1F2F"/>
    <w:rsid w:val="00CC3014"/>
    <w:rsid w:val="00CC3C59"/>
    <w:rsid w:val="00CC5683"/>
    <w:rsid w:val="00CC6F25"/>
    <w:rsid w:val="00CC7877"/>
    <w:rsid w:val="00CD0B70"/>
    <w:rsid w:val="00CD127F"/>
    <w:rsid w:val="00CD144B"/>
    <w:rsid w:val="00CD1751"/>
    <w:rsid w:val="00CD2EB3"/>
    <w:rsid w:val="00CD3AC7"/>
    <w:rsid w:val="00CD47DF"/>
    <w:rsid w:val="00CD5A63"/>
    <w:rsid w:val="00CE0713"/>
    <w:rsid w:val="00CE0E75"/>
    <w:rsid w:val="00CE1D72"/>
    <w:rsid w:val="00CE3109"/>
    <w:rsid w:val="00CE426F"/>
    <w:rsid w:val="00CF10ED"/>
    <w:rsid w:val="00CF150A"/>
    <w:rsid w:val="00CF1DD8"/>
    <w:rsid w:val="00CF1EC1"/>
    <w:rsid w:val="00CF29EE"/>
    <w:rsid w:val="00CF3A92"/>
    <w:rsid w:val="00CF6A81"/>
    <w:rsid w:val="00CF739A"/>
    <w:rsid w:val="00CF74E9"/>
    <w:rsid w:val="00CF7B40"/>
    <w:rsid w:val="00D007E6"/>
    <w:rsid w:val="00D01105"/>
    <w:rsid w:val="00D0163C"/>
    <w:rsid w:val="00D01A5E"/>
    <w:rsid w:val="00D0233B"/>
    <w:rsid w:val="00D02519"/>
    <w:rsid w:val="00D029D9"/>
    <w:rsid w:val="00D04D03"/>
    <w:rsid w:val="00D062A5"/>
    <w:rsid w:val="00D070A2"/>
    <w:rsid w:val="00D07893"/>
    <w:rsid w:val="00D108B8"/>
    <w:rsid w:val="00D1266F"/>
    <w:rsid w:val="00D14317"/>
    <w:rsid w:val="00D14AD7"/>
    <w:rsid w:val="00D15502"/>
    <w:rsid w:val="00D15D29"/>
    <w:rsid w:val="00D1606B"/>
    <w:rsid w:val="00D16DBD"/>
    <w:rsid w:val="00D16DFB"/>
    <w:rsid w:val="00D20867"/>
    <w:rsid w:val="00D2278B"/>
    <w:rsid w:val="00D2317A"/>
    <w:rsid w:val="00D246F4"/>
    <w:rsid w:val="00D250B6"/>
    <w:rsid w:val="00D25712"/>
    <w:rsid w:val="00D26562"/>
    <w:rsid w:val="00D2782A"/>
    <w:rsid w:val="00D31CE3"/>
    <w:rsid w:val="00D3291B"/>
    <w:rsid w:val="00D33639"/>
    <w:rsid w:val="00D3379B"/>
    <w:rsid w:val="00D33C40"/>
    <w:rsid w:val="00D35340"/>
    <w:rsid w:val="00D35E78"/>
    <w:rsid w:val="00D36720"/>
    <w:rsid w:val="00D370B0"/>
    <w:rsid w:val="00D37285"/>
    <w:rsid w:val="00D37D5B"/>
    <w:rsid w:val="00D40086"/>
    <w:rsid w:val="00D406AE"/>
    <w:rsid w:val="00D40968"/>
    <w:rsid w:val="00D41594"/>
    <w:rsid w:val="00D424DE"/>
    <w:rsid w:val="00D44234"/>
    <w:rsid w:val="00D446AA"/>
    <w:rsid w:val="00D44C90"/>
    <w:rsid w:val="00D50733"/>
    <w:rsid w:val="00D508F1"/>
    <w:rsid w:val="00D50AC2"/>
    <w:rsid w:val="00D52423"/>
    <w:rsid w:val="00D54363"/>
    <w:rsid w:val="00D55396"/>
    <w:rsid w:val="00D55CAA"/>
    <w:rsid w:val="00D55FEE"/>
    <w:rsid w:val="00D56B66"/>
    <w:rsid w:val="00D57D86"/>
    <w:rsid w:val="00D60A17"/>
    <w:rsid w:val="00D612B9"/>
    <w:rsid w:val="00D6272E"/>
    <w:rsid w:val="00D62931"/>
    <w:rsid w:val="00D63192"/>
    <w:rsid w:val="00D63C8E"/>
    <w:rsid w:val="00D63DD3"/>
    <w:rsid w:val="00D6495B"/>
    <w:rsid w:val="00D65454"/>
    <w:rsid w:val="00D674DA"/>
    <w:rsid w:val="00D67DF8"/>
    <w:rsid w:val="00D67E57"/>
    <w:rsid w:val="00D714BB"/>
    <w:rsid w:val="00D73F35"/>
    <w:rsid w:val="00D74FBE"/>
    <w:rsid w:val="00D7565E"/>
    <w:rsid w:val="00D76C67"/>
    <w:rsid w:val="00D76FED"/>
    <w:rsid w:val="00D77312"/>
    <w:rsid w:val="00D77CEF"/>
    <w:rsid w:val="00D80929"/>
    <w:rsid w:val="00D81099"/>
    <w:rsid w:val="00D82A17"/>
    <w:rsid w:val="00D82AB5"/>
    <w:rsid w:val="00D82D84"/>
    <w:rsid w:val="00D84C7B"/>
    <w:rsid w:val="00D85BDD"/>
    <w:rsid w:val="00D8622B"/>
    <w:rsid w:val="00D863D5"/>
    <w:rsid w:val="00D870DF"/>
    <w:rsid w:val="00D87D0A"/>
    <w:rsid w:val="00D90CD0"/>
    <w:rsid w:val="00D92291"/>
    <w:rsid w:val="00D92E71"/>
    <w:rsid w:val="00D9368F"/>
    <w:rsid w:val="00D93716"/>
    <w:rsid w:val="00D93862"/>
    <w:rsid w:val="00D94514"/>
    <w:rsid w:val="00D94EC1"/>
    <w:rsid w:val="00D9520C"/>
    <w:rsid w:val="00D96722"/>
    <w:rsid w:val="00D97DDB"/>
    <w:rsid w:val="00DA085B"/>
    <w:rsid w:val="00DA10CA"/>
    <w:rsid w:val="00DA1F56"/>
    <w:rsid w:val="00DA311F"/>
    <w:rsid w:val="00DA536A"/>
    <w:rsid w:val="00DA60C5"/>
    <w:rsid w:val="00DA6530"/>
    <w:rsid w:val="00DA7260"/>
    <w:rsid w:val="00DA7A65"/>
    <w:rsid w:val="00DA7D43"/>
    <w:rsid w:val="00DB05CE"/>
    <w:rsid w:val="00DB075E"/>
    <w:rsid w:val="00DB1791"/>
    <w:rsid w:val="00DB1AF9"/>
    <w:rsid w:val="00DB1FB3"/>
    <w:rsid w:val="00DB2780"/>
    <w:rsid w:val="00DB2D78"/>
    <w:rsid w:val="00DB362B"/>
    <w:rsid w:val="00DB3700"/>
    <w:rsid w:val="00DB3958"/>
    <w:rsid w:val="00DB3FA2"/>
    <w:rsid w:val="00DB4D25"/>
    <w:rsid w:val="00DB6180"/>
    <w:rsid w:val="00DB7697"/>
    <w:rsid w:val="00DB7ECD"/>
    <w:rsid w:val="00DC1265"/>
    <w:rsid w:val="00DC1A78"/>
    <w:rsid w:val="00DC2AFD"/>
    <w:rsid w:val="00DC40A0"/>
    <w:rsid w:val="00DC602A"/>
    <w:rsid w:val="00DD0AAA"/>
    <w:rsid w:val="00DD0AE2"/>
    <w:rsid w:val="00DD0C0C"/>
    <w:rsid w:val="00DD1171"/>
    <w:rsid w:val="00DD2635"/>
    <w:rsid w:val="00DD2E4B"/>
    <w:rsid w:val="00DD37F4"/>
    <w:rsid w:val="00DD3AE2"/>
    <w:rsid w:val="00DD3BAD"/>
    <w:rsid w:val="00DD52B8"/>
    <w:rsid w:val="00DD5E0F"/>
    <w:rsid w:val="00DD6A19"/>
    <w:rsid w:val="00DE121B"/>
    <w:rsid w:val="00DE20C5"/>
    <w:rsid w:val="00DE24D2"/>
    <w:rsid w:val="00DE399C"/>
    <w:rsid w:val="00DE4AF7"/>
    <w:rsid w:val="00DE53E0"/>
    <w:rsid w:val="00DE5B1A"/>
    <w:rsid w:val="00DE6891"/>
    <w:rsid w:val="00DE6E48"/>
    <w:rsid w:val="00DE7381"/>
    <w:rsid w:val="00DE7F02"/>
    <w:rsid w:val="00DF02D4"/>
    <w:rsid w:val="00DF0378"/>
    <w:rsid w:val="00DF03EA"/>
    <w:rsid w:val="00DF0469"/>
    <w:rsid w:val="00DF0FE6"/>
    <w:rsid w:val="00DF2A56"/>
    <w:rsid w:val="00DF3428"/>
    <w:rsid w:val="00DF429A"/>
    <w:rsid w:val="00DF4757"/>
    <w:rsid w:val="00E02608"/>
    <w:rsid w:val="00E02DC4"/>
    <w:rsid w:val="00E03B82"/>
    <w:rsid w:val="00E03EF5"/>
    <w:rsid w:val="00E1042B"/>
    <w:rsid w:val="00E10703"/>
    <w:rsid w:val="00E1097A"/>
    <w:rsid w:val="00E12AB1"/>
    <w:rsid w:val="00E13158"/>
    <w:rsid w:val="00E14661"/>
    <w:rsid w:val="00E14E44"/>
    <w:rsid w:val="00E159E5"/>
    <w:rsid w:val="00E15F4E"/>
    <w:rsid w:val="00E166B7"/>
    <w:rsid w:val="00E176CE"/>
    <w:rsid w:val="00E2162E"/>
    <w:rsid w:val="00E21C53"/>
    <w:rsid w:val="00E21DFB"/>
    <w:rsid w:val="00E220A9"/>
    <w:rsid w:val="00E25D13"/>
    <w:rsid w:val="00E2740D"/>
    <w:rsid w:val="00E275AB"/>
    <w:rsid w:val="00E2783C"/>
    <w:rsid w:val="00E31309"/>
    <w:rsid w:val="00E338B5"/>
    <w:rsid w:val="00E33A0B"/>
    <w:rsid w:val="00E34880"/>
    <w:rsid w:val="00E361AA"/>
    <w:rsid w:val="00E364B3"/>
    <w:rsid w:val="00E40293"/>
    <w:rsid w:val="00E40962"/>
    <w:rsid w:val="00E41842"/>
    <w:rsid w:val="00E41B46"/>
    <w:rsid w:val="00E42158"/>
    <w:rsid w:val="00E42C01"/>
    <w:rsid w:val="00E43C89"/>
    <w:rsid w:val="00E44586"/>
    <w:rsid w:val="00E45F08"/>
    <w:rsid w:val="00E47D3A"/>
    <w:rsid w:val="00E505B3"/>
    <w:rsid w:val="00E50FAF"/>
    <w:rsid w:val="00E52F94"/>
    <w:rsid w:val="00E538D1"/>
    <w:rsid w:val="00E538D5"/>
    <w:rsid w:val="00E538D9"/>
    <w:rsid w:val="00E53FCC"/>
    <w:rsid w:val="00E55DFB"/>
    <w:rsid w:val="00E6214F"/>
    <w:rsid w:val="00E6435C"/>
    <w:rsid w:val="00E64AE5"/>
    <w:rsid w:val="00E665C7"/>
    <w:rsid w:val="00E666D9"/>
    <w:rsid w:val="00E67AD6"/>
    <w:rsid w:val="00E67C0A"/>
    <w:rsid w:val="00E73132"/>
    <w:rsid w:val="00E736F6"/>
    <w:rsid w:val="00E74E0E"/>
    <w:rsid w:val="00E75539"/>
    <w:rsid w:val="00E757E3"/>
    <w:rsid w:val="00E76EFE"/>
    <w:rsid w:val="00E77B2E"/>
    <w:rsid w:val="00E80E79"/>
    <w:rsid w:val="00E81A4A"/>
    <w:rsid w:val="00E81B48"/>
    <w:rsid w:val="00E81E31"/>
    <w:rsid w:val="00E8234A"/>
    <w:rsid w:val="00E825D9"/>
    <w:rsid w:val="00E82F54"/>
    <w:rsid w:val="00E8303B"/>
    <w:rsid w:val="00E833A2"/>
    <w:rsid w:val="00E83D94"/>
    <w:rsid w:val="00E85483"/>
    <w:rsid w:val="00E857F2"/>
    <w:rsid w:val="00E85FDB"/>
    <w:rsid w:val="00E901EF"/>
    <w:rsid w:val="00E90E30"/>
    <w:rsid w:val="00E92316"/>
    <w:rsid w:val="00E92E55"/>
    <w:rsid w:val="00E93A51"/>
    <w:rsid w:val="00E94AA5"/>
    <w:rsid w:val="00E95DB5"/>
    <w:rsid w:val="00E972C1"/>
    <w:rsid w:val="00E97744"/>
    <w:rsid w:val="00E97DEC"/>
    <w:rsid w:val="00E97EB8"/>
    <w:rsid w:val="00EA0F55"/>
    <w:rsid w:val="00EA1C04"/>
    <w:rsid w:val="00EA261E"/>
    <w:rsid w:val="00EA3AE0"/>
    <w:rsid w:val="00EA4F37"/>
    <w:rsid w:val="00EA7295"/>
    <w:rsid w:val="00EB0C93"/>
    <w:rsid w:val="00EB13CB"/>
    <w:rsid w:val="00EB24A9"/>
    <w:rsid w:val="00EB3B1E"/>
    <w:rsid w:val="00EB78C8"/>
    <w:rsid w:val="00EC0917"/>
    <w:rsid w:val="00EC147C"/>
    <w:rsid w:val="00EC2D2E"/>
    <w:rsid w:val="00EC2D35"/>
    <w:rsid w:val="00EC30C5"/>
    <w:rsid w:val="00EC4365"/>
    <w:rsid w:val="00EC4AB2"/>
    <w:rsid w:val="00ED22C2"/>
    <w:rsid w:val="00ED27AE"/>
    <w:rsid w:val="00ED2FD6"/>
    <w:rsid w:val="00ED4469"/>
    <w:rsid w:val="00ED4798"/>
    <w:rsid w:val="00ED642C"/>
    <w:rsid w:val="00ED7505"/>
    <w:rsid w:val="00EE180A"/>
    <w:rsid w:val="00EE1D2B"/>
    <w:rsid w:val="00EE2683"/>
    <w:rsid w:val="00EE6CA8"/>
    <w:rsid w:val="00EE763E"/>
    <w:rsid w:val="00EE7FEF"/>
    <w:rsid w:val="00EF0F13"/>
    <w:rsid w:val="00EF0FBD"/>
    <w:rsid w:val="00EF0FE0"/>
    <w:rsid w:val="00EF1006"/>
    <w:rsid w:val="00EF13E6"/>
    <w:rsid w:val="00EF1B46"/>
    <w:rsid w:val="00EF3013"/>
    <w:rsid w:val="00EF680A"/>
    <w:rsid w:val="00EF6ED5"/>
    <w:rsid w:val="00EF7859"/>
    <w:rsid w:val="00F00B8C"/>
    <w:rsid w:val="00F013C3"/>
    <w:rsid w:val="00F01A84"/>
    <w:rsid w:val="00F01B57"/>
    <w:rsid w:val="00F02CA1"/>
    <w:rsid w:val="00F03971"/>
    <w:rsid w:val="00F05F36"/>
    <w:rsid w:val="00F0700D"/>
    <w:rsid w:val="00F105D9"/>
    <w:rsid w:val="00F10DCC"/>
    <w:rsid w:val="00F12F65"/>
    <w:rsid w:val="00F130EC"/>
    <w:rsid w:val="00F135D6"/>
    <w:rsid w:val="00F14099"/>
    <w:rsid w:val="00F14211"/>
    <w:rsid w:val="00F144CD"/>
    <w:rsid w:val="00F15243"/>
    <w:rsid w:val="00F157F9"/>
    <w:rsid w:val="00F15AC5"/>
    <w:rsid w:val="00F15C5A"/>
    <w:rsid w:val="00F15DD1"/>
    <w:rsid w:val="00F17C61"/>
    <w:rsid w:val="00F229D3"/>
    <w:rsid w:val="00F24839"/>
    <w:rsid w:val="00F24D94"/>
    <w:rsid w:val="00F2661F"/>
    <w:rsid w:val="00F2727F"/>
    <w:rsid w:val="00F27AC9"/>
    <w:rsid w:val="00F30B29"/>
    <w:rsid w:val="00F30C7B"/>
    <w:rsid w:val="00F316A2"/>
    <w:rsid w:val="00F31E46"/>
    <w:rsid w:val="00F320F8"/>
    <w:rsid w:val="00F3292A"/>
    <w:rsid w:val="00F33BE4"/>
    <w:rsid w:val="00F33E1E"/>
    <w:rsid w:val="00F34CD0"/>
    <w:rsid w:val="00F36287"/>
    <w:rsid w:val="00F36C94"/>
    <w:rsid w:val="00F37F2F"/>
    <w:rsid w:val="00F41AF6"/>
    <w:rsid w:val="00F4230A"/>
    <w:rsid w:val="00F428FF"/>
    <w:rsid w:val="00F4325C"/>
    <w:rsid w:val="00F434C1"/>
    <w:rsid w:val="00F45B00"/>
    <w:rsid w:val="00F472A8"/>
    <w:rsid w:val="00F51131"/>
    <w:rsid w:val="00F529EC"/>
    <w:rsid w:val="00F52C6F"/>
    <w:rsid w:val="00F539C4"/>
    <w:rsid w:val="00F539D7"/>
    <w:rsid w:val="00F555F7"/>
    <w:rsid w:val="00F60B34"/>
    <w:rsid w:val="00F622E5"/>
    <w:rsid w:val="00F62AD8"/>
    <w:rsid w:val="00F636F1"/>
    <w:rsid w:val="00F64D2D"/>
    <w:rsid w:val="00F64FA7"/>
    <w:rsid w:val="00F65960"/>
    <w:rsid w:val="00F65C7D"/>
    <w:rsid w:val="00F67732"/>
    <w:rsid w:val="00F701AC"/>
    <w:rsid w:val="00F70B0B"/>
    <w:rsid w:val="00F70B12"/>
    <w:rsid w:val="00F71BCF"/>
    <w:rsid w:val="00F72072"/>
    <w:rsid w:val="00F7299D"/>
    <w:rsid w:val="00F7316A"/>
    <w:rsid w:val="00F74A18"/>
    <w:rsid w:val="00F75A40"/>
    <w:rsid w:val="00F774A4"/>
    <w:rsid w:val="00F800C7"/>
    <w:rsid w:val="00F8069E"/>
    <w:rsid w:val="00F8121F"/>
    <w:rsid w:val="00F81A02"/>
    <w:rsid w:val="00F8228A"/>
    <w:rsid w:val="00F82D7C"/>
    <w:rsid w:val="00F8353C"/>
    <w:rsid w:val="00F8368B"/>
    <w:rsid w:val="00F83EF9"/>
    <w:rsid w:val="00F85298"/>
    <w:rsid w:val="00F85CBA"/>
    <w:rsid w:val="00F85E4C"/>
    <w:rsid w:val="00F860A1"/>
    <w:rsid w:val="00F9115B"/>
    <w:rsid w:val="00F91928"/>
    <w:rsid w:val="00F91E72"/>
    <w:rsid w:val="00F92528"/>
    <w:rsid w:val="00F92A9A"/>
    <w:rsid w:val="00F9301B"/>
    <w:rsid w:val="00F943EC"/>
    <w:rsid w:val="00F94513"/>
    <w:rsid w:val="00F9497D"/>
    <w:rsid w:val="00F950FA"/>
    <w:rsid w:val="00F97CAF"/>
    <w:rsid w:val="00F97EC5"/>
    <w:rsid w:val="00F97F76"/>
    <w:rsid w:val="00FA0021"/>
    <w:rsid w:val="00FA05AF"/>
    <w:rsid w:val="00FA1C7B"/>
    <w:rsid w:val="00FA1CA3"/>
    <w:rsid w:val="00FA2476"/>
    <w:rsid w:val="00FA4BA1"/>
    <w:rsid w:val="00FA4C54"/>
    <w:rsid w:val="00FA54C4"/>
    <w:rsid w:val="00FA55A3"/>
    <w:rsid w:val="00FA5D33"/>
    <w:rsid w:val="00FA5DFE"/>
    <w:rsid w:val="00FA648F"/>
    <w:rsid w:val="00FA6788"/>
    <w:rsid w:val="00FA6B32"/>
    <w:rsid w:val="00FA70DB"/>
    <w:rsid w:val="00FA738F"/>
    <w:rsid w:val="00FB033C"/>
    <w:rsid w:val="00FB1515"/>
    <w:rsid w:val="00FB3F09"/>
    <w:rsid w:val="00FB44D8"/>
    <w:rsid w:val="00FB51A6"/>
    <w:rsid w:val="00FB6184"/>
    <w:rsid w:val="00FB701D"/>
    <w:rsid w:val="00FC170B"/>
    <w:rsid w:val="00FC1A1B"/>
    <w:rsid w:val="00FC2ECC"/>
    <w:rsid w:val="00FC5565"/>
    <w:rsid w:val="00FC6C4C"/>
    <w:rsid w:val="00FC7EA8"/>
    <w:rsid w:val="00FD0F8C"/>
    <w:rsid w:val="00FD1D43"/>
    <w:rsid w:val="00FD4052"/>
    <w:rsid w:val="00FD4284"/>
    <w:rsid w:val="00FD5730"/>
    <w:rsid w:val="00FD6806"/>
    <w:rsid w:val="00FE01BA"/>
    <w:rsid w:val="00FE218B"/>
    <w:rsid w:val="00FE2B34"/>
    <w:rsid w:val="00FE3220"/>
    <w:rsid w:val="00FE3F9A"/>
    <w:rsid w:val="00FE44A7"/>
    <w:rsid w:val="00FE4912"/>
    <w:rsid w:val="00FE58D9"/>
    <w:rsid w:val="00FE7642"/>
    <w:rsid w:val="00FE7B65"/>
    <w:rsid w:val="00FF0C6B"/>
    <w:rsid w:val="00FF1D3B"/>
    <w:rsid w:val="00FF3394"/>
    <w:rsid w:val="00FF355E"/>
    <w:rsid w:val="00FF3E27"/>
    <w:rsid w:val="00FF405A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68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489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B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92D4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2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648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dokomentarza">
    <w:name w:val="annotation reference"/>
    <w:rsid w:val="006A0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A06F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6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6F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76B16"/>
    <w:pPr>
      <w:ind w:left="720"/>
      <w:contextualSpacing/>
    </w:pPr>
  </w:style>
  <w:style w:type="paragraph" w:styleId="Tekstprzypisudolnego">
    <w:name w:val="footnote text"/>
    <w:aliases w:val="Podrozdział,Przypis,Footnote,Podrozdzia3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502B8A"/>
  </w:style>
  <w:style w:type="character" w:customStyle="1" w:styleId="TekstprzypisudolnegoZnak">
    <w:name w:val="Tekst przypisu dolnego Znak"/>
    <w:aliases w:val="Podrozdział Znak,Przypis Znak,Footnote Znak,Podrozdzia3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502B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B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C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C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C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C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B85"/>
    <w:rPr>
      <w:rFonts w:asciiTheme="majorHAnsi" w:eastAsiaTheme="majorEastAsia" w:hAnsiTheme="majorHAnsi" w:cstheme="majorBidi"/>
      <w:color w:val="892D4D" w:themeColor="accent1" w:themeShade="BF"/>
      <w:sz w:val="26"/>
      <w:szCs w:val="26"/>
      <w:lang w:eastAsia="pl-PL"/>
    </w:rPr>
  </w:style>
  <w:style w:type="paragraph" w:styleId="Legenda">
    <w:name w:val="caption"/>
    <w:basedOn w:val="Normalny"/>
    <w:uiPriority w:val="7"/>
    <w:qFormat/>
    <w:rsid w:val="002B199C"/>
    <w:pPr>
      <w:keepNext/>
      <w:keepLines/>
      <w:spacing w:before="360" w:after="60"/>
      <w:jc w:val="both"/>
    </w:pPr>
    <w:rPr>
      <w:rFonts w:ascii="Arial" w:hAnsi="Arial"/>
      <w:b/>
      <w:sz w:val="16"/>
      <w:szCs w:val="18"/>
      <w:lang w:eastAsia="en-US" w:bidi="en-US"/>
    </w:rPr>
  </w:style>
  <w:style w:type="table" w:customStyle="1" w:styleId="Tabelalisty2akcent41">
    <w:name w:val="Tabela listy 2 — akcent 41"/>
    <w:basedOn w:val="Standardowy"/>
    <w:uiPriority w:val="47"/>
    <w:rsid w:val="002B199C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bottom w:val="single" w:sz="4" w:space="0" w:color="FBD387" w:themeColor="accent4" w:themeTint="99"/>
        <w:insideH w:val="single" w:sz="4" w:space="0" w:color="FBD38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siatki5ciemnaakcent41">
    <w:name w:val="Tabela siatki 5 — ciemna — akcent 41"/>
    <w:basedOn w:val="Standardowy"/>
    <w:uiPriority w:val="50"/>
    <w:rsid w:val="00222E4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B63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B639" w:themeFill="accent4"/>
      </w:tcPr>
    </w:tblStylePr>
    <w:tblStylePr w:type="band1Vert">
      <w:tblPr/>
      <w:tcPr>
        <w:shd w:val="clear" w:color="auto" w:fill="FCE1AF" w:themeFill="accent4" w:themeFillTint="66"/>
      </w:tcPr>
    </w:tblStylePr>
    <w:tblStylePr w:type="band1Horz">
      <w:tblPr/>
      <w:tcPr>
        <w:shd w:val="clear" w:color="auto" w:fill="FCE1AF" w:themeFill="accent4" w:themeFillTint="66"/>
      </w:tcPr>
    </w:tblStylePr>
  </w:style>
  <w:style w:type="table" w:customStyle="1" w:styleId="Tabelalisty4akcent41">
    <w:name w:val="Tabela listy 4 — akcent 41"/>
    <w:basedOn w:val="Standardowy"/>
    <w:uiPriority w:val="49"/>
    <w:rsid w:val="00222E43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left w:val="single" w:sz="4" w:space="0" w:color="FBD387" w:themeColor="accent4" w:themeTint="99"/>
        <w:bottom w:val="single" w:sz="4" w:space="0" w:color="FBD387" w:themeColor="accent4" w:themeTint="99"/>
        <w:right w:val="single" w:sz="4" w:space="0" w:color="FBD387" w:themeColor="accent4" w:themeTint="99"/>
        <w:insideH w:val="single" w:sz="4" w:space="0" w:color="FBD38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B639" w:themeColor="accent4"/>
          <w:left w:val="single" w:sz="4" w:space="0" w:color="F9B639" w:themeColor="accent4"/>
          <w:bottom w:val="single" w:sz="4" w:space="0" w:color="F9B639" w:themeColor="accent4"/>
          <w:right w:val="single" w:sz="4" w:space="0" w:color="F9B639" w:themeColor="accent4"/>
          <w:insideH w:val="nil"/>
        </w:tcBorders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listy3akcent41">
    <w:name w:val="Tabela listy 3 — akcent 41"/>
    <w:basedOn w:val="Standardowy"/>
    <w:uiPriority w:val="48"/>
    <w:rsid w:val="0025287F"/>
    <w:pPr>
      <w:spacing w:after="0" w:line="240" w:lineRule="auto"/>
    </w:pPr>
    <w:tblPr>
      <w:tblStyleRowBandSize w:val="1"/>
      <w:tblStyleColBandSize w:val="1"/>
      <w:tblBorders>
        <w:top w:val="single" w:sz="4" w:space="0" w:color="F9B639" w:themeColor="accent4"/>
        <w:left w:val="single" w:sz="4" w:space="0" w:color="F9B639" w:themeColor="accent4"/>
        <w:bottom w:val="single" w:sz="4" w:space="0" w:color="F9B639" w:themeColor="accent4"/>
        <w:right w:val="single" w:sz="4" w:space="0" w:color="F9B63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9B63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B639" w:themeColor="accent4"/>
          <w:right w:val="single" w:sz="4" w:space="0" w:color="F9B639" w:themeColor="accent4"/>
        </w:tcBorders>
      </w:tcPr>
    </w:tblStylePr>
    <w:tblStylePr w:type="band1Horz">
      <w:tblPr/>
      <w:tcPr>
        <w:tcBorders>
          <w:top w:val="single" w:sz="4" w:space="0" w:color="F9B639" w:themeColor="accent4"/>
          <w:bottom w:val="single" w:sz="4" w:space="0" w:color="F9B63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B639" w:themeColor="accent4"/>
          <w:left w:val="nil"/>
        </w:tcBorders>
      </w:tcPr>
    </w:tblStylePr>
    <w:tblStylePr w:type="swCell">
      <w:tblPr/>
      <w:tcPr>
        <w:tcBorders>
          <w:top w:val="double" w:sz="4" w:space="0" w:color="F9B639" w:themeColor="accent4"/>
          <w:right w:val="nil"/>
        </w:tcBorders>
      </w:tcPr>
    </w:tblStylePr>
  </w:style>
  <w:style w:type="character" w:styleId="Hipercze">
    <w:name w:val="Hyperlink"/>
    <w:uiPriority w:val="99"/>
    <w:rsid w:val="000C7F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55D8"/>
    <w:rPr>
      <w:color w:val="800080"/>
      <w:u w:val="single"/>
    </w:rPr>
  </w:style>
  <w:style w:type="paragraph" w:customStyle="1" w:styleId="font5">
    <w:name w:val="font5"/>
    <w:basedOn w:val="Normalny"/>
    <w:rsid w:val="007E55D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ny"/>
    <w:rsid w:val="007E55D8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7">
    <w:name w:val="font7"/>
    <w:basedOn w:val="Normalny"/>
    <w:rsid w:val="007E55D8"/>
    <w:pPr>
      <w:spacing w:before="100" w:beforeAutospacing="1" w:after="100" w:afterAutospacing="1"/>
    </w:pPr>
    <w:rPr>
      <w:rFonts w:ascii="Segoe UI" w:hAnsi="Segoe UI" w:cs="Segoe UI"/>
      <w:color w:val="333333"/>
      <w:sz w:val="18"/>
      <w:szCs w:val="18"/>
    </w:rPr>
  </w:style>
  <w:style w:type="paragraph" w:customStyle="1" w:styleId="xl64">
    <w:name w:val="xl64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ny"/>
    <w:rsid w:val="007E55D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6">
    <w:name w:val="xl6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7">
    <w:name w:val="xl67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8">
    <w:name w:val="xl6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color w:val="0000FF"/>
      <w:sz w:val="24"/>
      <w:szCs w:val="24"/>
      <w:u w:val="single"/>
    </w:rPr>
  </w:style>
  <w:style w:type="paragraph" w:customStyle="1" w:styleId="xl69">
    <w:name w:val="xl69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0">
    <w:name w:val="xl70"/>
    <w:basedOn w:val="Normalny"/>
    <w:rsid w:val="007E55D8"/>
    <w:pPr>
      <w:shd w:val="clear" w:color="000000" w:fill="EEECE1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1">
    <w:name w:val="xl71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2">
    <w:name w:val="xl72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4">
    <w:name w:val="xl74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7">
    <w:name w:val="xl77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7E55D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7E55D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Normalny"/>
    <w:rsid w:val="007E55D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Normalny"/>
    <w:rsid w:val="007E55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7E55D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ny"/>
    <w:rsid w:val="007E55D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6">
    <w:name w:val="xl8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87">
    <w:name w:val="xl87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table" w:customStyle="1" w:styleId="Jasnasiatkaakcent11">
    <w:name w:val="Jasna siatka — akcent 11"/>
    <w:basedOn w:val="Standardowy"/>
    <w:uiPriority w:val="62"/>
    <w:rsid w:val="00857E40"/>
    <w:pPr>
      <w:spacing w:after="0" w:line="240" w:lineRule="auto"/>
      <w:ind w:left="40"/>
      <w:jc w:val="center"/>
    </w:pPr>
    <w:tblPr>
      <w:tblStyleRowBandSize w:val="1"/>
      <w:tblStyleColBandSize w:val="1"/>
      <w:tblBorders>
        <w:top w:val="single" w:sz="8" w:space="0" w:color="B83D68" w:themeColor="accent1"/>
        <w:left w:val="single" w:sz="8" w:space="0" w:color="B83D68" w:themeColor="accent1"/>
        <w:bottom w:val="single" w:sz="8" w:space="0" w:color="B83D68" w:themeColor="accent1"/>
        <w:right w:val="single" w:sz="8" w:space="0" w:color="B83D68" w:themeColor="accent1"/>
        <w:insideH w:val="single" w:sz="8" w:space="0" w:color="B83D68" w:themeColor="accent1"/>
        <w:insideV w:val="single" w:sz="8" w:space="0" w:color="B83D6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18" w:space="0" w:color="B83D68" w:themeColor="accent1"/>
          <w:right w:val="single" w:sz="8" w:space="0" w:color="B83D68" w:themeColor="accent1"/>
          <w:insideH w:val="nil"/>
          <w:insideV w:val="single" w:sz="8" w:space="0" w:color="B83D6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H w:val="nil"/>
          <w:insideV w:val="single" w:sz="8" w:space="0" w:color="B83D6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</w:tcBorders>
      </w:tcPr>
    </w:tblStylePr>
    <w:tblStylePr w:type="band1Vert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</w:tcBorders>
        <w:shd w:val="clear" w:color="auto" w:fill="EECDD9" w:themeFill="accent1" w:themeFillTint="3F"/>
      </w:tcPr>
    </w:tblStylePr>
    <w:tblStylePr w:type="band1Horz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V w:val="single" w:sz="8" w:space="0" w:color="B83D68" w:themeColor="accent1"/>
        </w:tcBorders>
        <w:shd w:val="clear" w:color="auto" w:fill="EECDD9" w:themeFill="accent1" w:themeFillTint="3F"/>
      </w:tcPr>
    </w:tblStylePr>
    <w:tblStylePr w:type="band2Horz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V w:val="single" w:sz="8" w:space="0" w:color="B83D68" w:themeColor="accent1"/>
        </w:tcBorders>
      </w:tcPr>
    </w:tblStylePr>
  </w:style>
  <w:style w:type="table" w:customStyle="1" w:styleId="Tabelasiatki4akcent21">
    <w:name w:val="Tabela siatki 4 — akcent 21"/>
    <w:basedOn w:val="Standardowy"/>
    <w:uiPriority w:val="49"/>
    <w:rsid w:val="00857E40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092C2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892D4D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092C2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2C2B"/>
    <w:pPr>
      <w:spacing w:after="100"/>
      <w:ind w:left="200"/>
    </w:pPr>
  </w:style>
  <w:style w:type="table" w:customStyle="1" w:styleId="Zwykatabela31">
    <w:name w:val="Zwykła tabela 31"/>
    <w:basedOn w:val="Standardowy"/>
    <w:uiPriority w:val="43"/>
    <w:rsid w:val="00FE218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4akcent210">
    <w:name w:val="Tabela siatki 4 — akcent 21"/>
    <w:basedOn w:val="Standardowy"/>
    <w:uiPriority w:val="49"/>
    <w:rsid w:val="00394326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character" w:customStyle="1" w:styleId="xbe">
    <w:name w:val="_xbe"/>
    <w:basedOn w:val="Domylnaczcionkaakapitu"/>
    <w:rsid w:val="0019359B"/>
  </w:style>
  <w:style w:type="paragraph" w:styleId="HTML-adres">
    <w:name w:val="HTML Address"/>
    <w:basedOn w:val="Normalny"/>
    <w:link w:val="HTML-adresZnak"/>
    <w:uiPriority w:val="99"/>
    <w:semiHidden/>
    <w:unhideWhenUsed/>
    <w:rsid w:val="001C495A"/>
    <w:rPr>
      <w:i/>
      <w:iCs/>
      <w:sz w:val="24"/>
      <w:szCs w:val="24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C49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5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5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siatki4akcent41">
    <w:name w:val="Tabela siatki 4 — akcent 41"/>
    <w:basedOn w:val="Standardowy"/>
    <w:uiPriority w:val="49"/>
    <w:rsid w:val="00610F12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left w:val="single" w:sz="4" w:space="0" w:color="FBD387" w:themeColor="accent4" w:themeTint="99"/>
        <w:bottom w:val="single" w:sz="4" w:space="0" w:color="FBD387" w:themeColor="accent4" w:themeTint="99"/>
        <w:right w:val="single" w:sz="4" w:space="0" w:color="FBD387" w:themeColor="accent4" w:themeTint="99"/>
        <w:insideH w:val="single" w:sz="4" w:space="0" w:color="FBD387" w:themeColor="accent4" w:themeTint="99"/>
        <w:insideV w:val="single" w:sz="4" w:space="0" w:color="FBD38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B639" w:themeColor="accent4"/>
          <w:left w:val="single" w:sz="4" w:space="0" w:color="F9B639" w:themeColor="accent4"/>
          <w:bottom w:val="single" w:sz="4" w:space="0" w:color="F9B639" w:themeColor="accent4"/>
          <w:right w:val="single" w:sz="4" w:space="0" w:color="F9B639" w:themeColor="accent4"/>
          <w:insideH w:val="nil"/>
          <w:insideV w:val="nil"/>
        </w:tcBorders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9B63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siatki4akcent22">
    <w:name w:val="Tabela siatki 4 — akcent 22"/>
    <w:basedOn w:val="Standardowy"/>
    <w:uiPriority w:val="49"/>
    <w:rsid w:val="00610F12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table" w:styleId="Tabela-Siatka">
    <w:name w:val="Table Grid"/>
    <w:basedOn w:val="Standardowy"/>
    <w:uiPriority w:val="39"/>
    <w:rsid w:val="0045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21">
    <w:name w:val="Tabela siatki 5 — ciemna — akcent 21"/>
    <w:basedOn w:val="Standardowy"/>
    <w:uiPriority w:val="50"/>
    <w:rsid w:val="0017410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0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band1Vert">
      <w:tblPr/>
      <w:tcPr>
        <w:shd w:val="clear" w:color="auto" w:fill="DDC1E3" w:themeFill="accent2" w:themeFillTint="66"/>
      </w:tcPr>
    </w:tblStylePr>
    <w:tblStylePr w:type="band1Horz">
      <w:tblPr/>
      <w:tcPr>
        <w:shd w:val="clear" w:color="auto" w:fill="DDC1E3" w:themeFill="accent2" w:themeFillTint="66"/>
      </w:tcPr>
    </w:tblStylePr>
  </w:style>
  <w:style w:type="paragraph" w:styleId="Poprawka">
    <w:name w:val="Revision"/>
    <w:hidden/>
    <w:uiPriority w:val="99"/>
    <w:semiHidden/>
    <w:rsid w:val="004E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3E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C63E4"/>
    <w:rPr>
      <w:rFonts w:eastAsiaTheme="minorEastAsia"/>
      <w:color w:val="5A5A5A" w:themeColor="text1" w:themeTint="A5"/>
      <w:spacing w:val="15"/>
    </w:rPr>
  </w:style>
  <w:style w:type="table" w:customStyle="1" w:styleId="Tabelasiatki5ciemnaakcent22">
    <w:name w:val="Tabela siatki 5 — ciemna — akcent 22"/>
    <w:basedOn w:val="Standardowy"/>
    <w:uiPriority w:val="50"/>
    <w:rsid w:val="000A20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0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band1Vert">
      <w:tblPr/>
      <w:tcPr>
        <w:shd w:val="clear" w:color="auto" w:fill="DDC1E3" w:themeFill="accent2" w:themeFillTint="66"/>
      </w:tcPr>
    </w:tblStylePr>
    <w:tblStylePr w:type="band1Horz">
      <w:tblPr/>
      <w:tcPr>
        <w:shd w:val="clear" w:color="auto" w:fill="DDC1E3" w:themeFill="accent2" w:themeFillTint="66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33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33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333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2333"/>
    <w:rPr>
      <w:rFonts w:asciiTheme="majorHAnsi" w:eastAsiaTheme="majorEastAsia" w:hAnsiTheme="majorHAnsi" w:cstheme="majorBidi"/>
      <w:b/>
      <w:bCs/>
      <w:color w:val="B83D68" w:themeColor="accent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68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489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B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92D4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2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648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dokomentarza">
    <w:name w:val="annotation reference"/>
    <w:rsid w:val="006A0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A06F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6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6F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76B16"/>
    <w:pPr>
      <w:ind w:left="720"/>
      <w:contextualSpacing/>
    </w:pPr>
  </w:style>
  <w:style w:type="paragraph" w:styleId="Tekstprzypisudolnego">
    <w:name w:val="footnote text"/>
    <w:aliases w:val="Podrozdział,Przypis,Footnote,Podrozdzia3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502B8A"/>
  </w:style>
  <w:style w:type="character" w:customStyle="1" w:styleId="TekstprzypisudolnegoZnak">
    <w:name w:val="Tekst przypisu dolnego Znak"/>
    <w:aliases w:val="Podrozdział Znak,Przypis Znak,Footnote Znak,Podrozdzia3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502B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B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C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C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C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C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B85"/>
    <w:rPr>
      <w:rFonts w:asciiTheme="majorHAnsi" w:eastAsiaTheme="majorEastAsia" w:hAnsiTheme="majorHAnsi" w:cstheme="majorBidi"/>
      <w:color w:val="892D4D" w:themeColor="accent1" w:themeShade="BF"/>
      <w:sz w:val="26"/>
      <w:szCs w:val="26"/>
      <w:lang w:eastAsia="pl-PL"/>
    </w:rPr>
  </w:style>
  <w:style w:type="paragraph" w:styleId="Legenda">
    <w:name w:val="caption"/>
    <w:basedOn w:val="Normalny"/>
    <w:uiPriority w:val="7"/>
    <w:qFormat/>
    <w:rsid w:val="002B199C"/>
    <w:pPr>
      <w:keepNext/>
      <w:keepLines/>
      <w:spacing w:before="360" w:after="60"/>
      <w:jc w:val="both"/>
    </w:pPr>
    <w:rPr>
      <w:rFonts w:ascii="Arial" w:hAnsi="Arial"/>
      <w:b/>
      <w:sz w:val="16"/>
      <w:szCs w:val="18"/>
      <w:lang w:eastAsia="en-US" w:bidi="en-US"/>
    </w:rPr>
  </w:style>
  <w:style w:type="table" w:customStyle="1" w:styleId="Tabelalisty2akcent41">
    <w:name w:val="Tabela listy 2 — akcent 41"/>
    <w:basedOn w:val="Standardowy"/>
    <w:uiPriority w:val="47"/>
    <w:rsid w:val="002B199C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bottom w:val="single" w:sz="4" w:space="0" w:color="FBD387" w:themeColor="accent4" w:themeTint="99"/>
        <w:insideH w:val="single" w:sz="4" w:space="0" w:color="FBD38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siatki5ciemnaakcent41">
    <w:name w:val="Tabela siatki 5 — ciemna — akcent 41"/>
    <w:basedOn w:val="Standardowy"/>
    <w:uiPriority w:val="50"/>
    <w:rsid w:val="00222E4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B63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B639" w:themeFill="accent4"/>
      </w:tcPr>
    </w:tblStylePr>
    <w:tblStylePr w:type="band1Vert">
      <w:tblPr/>
      <w:tcPr>
        <w:shd w:val="clear" w:color="auto" w:fill="FCE1AF" w:themeFill="accent4" w:themeFillTint="66"/>
      </w:tcPr>
    </w:tblStylePr>
    <w:tblStylePr w:type="band1Horz">
      <w:tblPr/>
      <w:tcPr>
        <w:shd w:val="clear" w:color="auto" w:fill="FCE1AF" w:themeFill="accent4" w:themeFillTint="66"/>
      </w:tcPr>
    </w:tblStylePr>
  </w:style>
  <w:style w:type="table" w:customStyle="1" w:styleId="Tabelalisty4akcent41">
    <w:name w:val="Tabela listy 4 — akcent 41"/>
    <w:basedOn w:val="Standardowy"/>
    <w:uiPriority w:val="49"/>
    <w:rsid w:val="00222E43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left w:val="single" w:sz="4" w:space="0" w:color="FBD387" w:themeColor="accent4" w:themeTint="99"/>
        <w:bottom w:val="single" w:sz="4" w:space="0" w:color="FBD387" w:themeColor="accent4" w:themeTint="99"/>
        <w:right w:val="single" w:sz="4" w:space="0" w:color="FBD387" w:themeColor="accent4" w:themeTint="99"/>
        <w:insideH w:val="single" w:sz="4" w:space="0" w:color="FBD38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B639" w:themeColor="accent4"/>
          <w:left w:val="single" w:sz="4" w:space="0" w:color="F9B639" w:themeColor="accent4"/>
          <w:bottom w:val="single" w:sz="4" w:space="0" w:color="F9B639" w:themeColor="accent4"/>
          <w:right w:val="single" w:sz="4" w:space="0" w:color="F9B639" w:themeColor="accent4"/>
          <w:insideH w:val="nil"/>
        </w:tcBorders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listy3akcent41">
    <w:name w:val="Tabela listy 3 — akcent 41"/>
    <w:basedOn w:val="Standardowy"/>
    <w:uiPriority w:val="48"/>
    <w:rsid w:val="0025287F"/>
    <w:pPr>
      <w:spacing w:after="0" w:line="240" w:lineRule="auto"/>
    </w:pPr>
    <w:tblPr>
      <w:tblStyleRowBandSize w:val="1"/>
      <w:tblStyleColBandSize w:val="1"/>
      <w:tblBorders>
        <w:top w:val="single" w:sz="4" w:space="0" w:color="F9B639" w:themeColor="accent4"/>
        <w:left w:val="single" w:sz="4" w:space="0" w:color="F9B639" w:themeColor="accent4"/>
        <w:bottom w:val="single" w:sz="4" w:space="0" w:color="F9B639" w:themeColor="accent4"/>
        <w:right w:val="single" w:sz="4" w:space="0" w:color="F9B63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9B63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B639" w:themeColor="accent4"/>
          <w:right w:val="single" w:sz="4" w:space="0" w:color="F9B639" w:themeColor="accent4"/>
        </w:tcBorders>
      </w:tcPr>
    </w:tblStylePr>
    <w:tblStylePr w:type="band1Horz">
      <w:tblPr/>
      <w:tcPr>
        <w:tcBorders>
          <w:top w:val="single" w:sz="4" w:space="0" w:color="F9B639" w:themeColor="accent4"/>
          <w:bottom w:val="single" w:sz="4" w:space="0" w:color="F9B63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B639" w:themeColor="accent4"/>
          <w:left w:val="nil"/>
        </w:tcBorders>
      </w:tcPr>
    </w:tblStylePr>
    <w:tblStylePr w:type="swCell">
      <w:tblPr/>
      <w:tcPr>
        <w:tcBorders>
          <w:top w:val="double" w:sz="4" w:space="0" w:color="F9B639" w:themeColor="accent4"/>
          <w:right w:val="nil"/>
        </w:tcBorders>
      </w:tcPr>
    </w:tblStylePr>
  </w:style>
  <w:style w:type="character" w:styleId="Hipercze">
    <w:name w:val="Hyperlink"/>
    <w:uiPriority w:val="99"/>
    <w:rsid w:val="000C7F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55D8"/>
    <w:rPr>
      <w:color w:val="800080"/>
      <w:u w:val="single"/>
    </w:rPr>
  </w:style>
  <w:style w:type="paragraph" w:customStyle="1" w:styleId="font5">
    <w:name w:val="font5"/>
    <w:basedOn w:val="Normalny"/>
    <w:rsid w:val="007E55D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ny"/>
    <w:rsid w:val="007E55D8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7">
    <w:name w:val="font7"/>
    <w:basedOn w:val="Normalny"/>
    <w:rsid w:val="007E55D8"/>
    <w:pPr>
      <w:spacing w:before="100" w:beforeAutospacing="1" w:after="100" w:afterAutospacing="1"/>
    </w:pPr>
    <w:rPr>
      <w:rFonts w:ascii="Segoe UI" w:hAnsi="Segoe UI" w:cs="Segoe UI"/>
      <w:color w:val="333333"/>
      <w:sz w:val="18"/>
      <w:szCs w:val="18"/>
    </w:rPr>
  </w:style>
  <w:style w:type="paragraph" w:customStyle="1" w:styleId="xl64">
    <w:name w:val="xl64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ny"/>
    <w:rsid w:val="007E55D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6">
    <w:name w:val="xl6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7">
    <w:name w:val="xl67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68">
    <w:name w:val="xl6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color w:val="0000FF"/>
      <w:sz w:val="24"/>
      <w:szCs w:val="24"/>
      <w:u w:val="single"/>
    </w:rPr>
  </w:style>
  <w:style w:type="paragraph" w:customStyle="1" w:styleId="xl69">
    <w:name w:val="xl69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0">
    <w:name w:val="xl70"/>
    <w:basedOn w:val="Normalny"/>
    <w:rsid w:val="007E55D8"/>
    <w:pPr>
      <w:shd w:val="clear" w:color="000000" w:fill="EEECE1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1">
    <w:name w:val="xl71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2">
    <w:name w:val="xl72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74">
    <w:name w:val="xl74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7">
    <w:name w:val="xl77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7E55D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7E55D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ny"/>
    <w:rsid w:val="007E55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Normalny"/>
    <w:rsid w:val="007E55D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Normalny"/>
    <w:rsid w:val="007E55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7E55D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9BBB59"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ny"/>
    <w:rsid w:val="007E55D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6">
    <w:name w:val="xl86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paragraph" w:customStyle="1" w:styleId="xl87">
    <w:name w:val="xl87"/>
    <w:basedOn w:val="Normalny"/>
    <w:rsid w:val="007E55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Normalny"/>
    <w:rsid w:val="007E55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79646"/>
      <w:spacing w:before="100" w:beforeAutospacing="1" w:after="100" w:afterAutospacing="1"/>
    </w:pPr>
    <w:rPr>
      <w:color w:val="0000FF"/>
      <w:sz w:val="24"/>
      <w:szCs w:val="24"/>
      <w:u w:val="single"/>
    </w:rPr>
  </w:style>
  <w:style w:type="table" w:customStyle="1" w:styleId="Jasnasiatkaakcent11">
    <w:name w:val="Jasna siatka — akcent 11"/>
    <w:basedOn w:val="Standardowy"/>
    <w:uiPriority w:val="62"/>
    <w:rsid w:val="00857E40"/>
    <w:pPr>
      <w:spacing w:after="0" w:line="240" w:lineRule="auto"/>
      <w:ind w:left="40"/>
      <w:jc w:val="center"/>
    </w:pPr>
    <w:tblPr>
      <w:tblStyleRowBandSize w:val="1"/>
      <w:tblStyleColBandSize w:val="1"/>
      <w:tblBorders>
        <w:top w:val="single" w:sz="8" w:space="0" w:color="B83D68" w:themeColor="accent1"/>
        <w:left w:val="single" w:sz="8" w:space="0" w:color="B83D68" w:themeColor="accent1"/>
        <w:bottom w:val="single" w:sz="8" w:space="0" w:color="B83D68" w:themeColor="accent1"/>
        <w:right w:val="single" w:sz="8" w:space="0" w:color="B83D68" w:themeColor="accent1"/>
        <w:insideH w:val="single" w:sz="8" w:space="0" w:color="B83D68" w:themeColor="accent1"/>
        <w:insideV w:val="single" w:sz="8" w:space="0" w:color="B83D6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18" w:space="0" w:color="B83D68" w:themeColor="accent1"/>
          <w:right w:val="single" w:sz="8" w:space="0" w:color="B83D68" w:themeColor="accent1"/>
          <w:insideH w:val="nil"/>
          <w:insideV w:val="single" w:sz="8" w:space="0" w:color="B83D6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H w:val="nil"/>
          <w:insideV w:val="single" w:sz="8" w:space="0" w:color="B83D6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</w:tcBorders>
      </w:tcPr>
    </w:tblStylePr>
    <w:tblStylePr w:type="band1Vert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</w:tcBorders>
        <w:shd w:val="clear" w:color="auto" w:fill="EECDD9" w:themeFill="accent1" w:themeFillTint="3F"/>
      </w:tcPr>
    </w:tblStylePr>
    <w:tblStylePr w:type="band1Horz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V w:val="single" w:sz="8" w:space="0" w:color="B83D68" w:themeColor="accent1"/>
        </w:tcBorders>
        <w:shd w:val="clear" w:color="auto" w:fill="EECDD9" w:themeFill="accent1" w:themeFillTint="3F"/>
      </w:tcPr>
    </w:tblStylePr>
    <w:tblStylePr w:type="band2Horz">
      <w:tblPr/>
      <w:tcPr>
        <w:tcBorders>
          <w:top w:val="single" w:sz="8" w:space="0" w:color="B83D68" w:themeColor="accent1"/>
          <w:left w:val="single" w:sz="8" w:space="0" w:color="B83D68" w:themeColor="accent1"/>
          <w:bottom w:val="single" w:sz="8" w:space="0" w:color="B83D68" w:themeColor="accent1"/>
          <w:right w:val="single" w:sz="8" w:space="0" w:color="B83D68" w:themeColor="accent1"/>
          <w:insideV w:val="single" w:sz="8" w:space="0" w:color="B83D68" w:themeColor="accent1"/>
        </w:tcBorders>
      </w:tcPr>
    </w:tblStylePr>
  </w:style>
  <w:style w:type="table" w:customStyle="1" w:styleId="Tabelasiatki4akcent21">
    <w:name w:val="Tabela siatki 4 — akcent 21"/>
    <w:basedOn w:val="Standardowy"/>
    <w:uiPriority w:val="49"/>
    <w:rsid w:val="00857E40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092C2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892D4D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092C2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2C2B"/>
    <w:pPr>
      <w:spacing w:after="100"/>
      <w:ind w:left="200"/>
    </w:pPr>
  </w:style>
  <w:style w:type="table" w:customStyle="1" w:styleId="Zwykatabela31">
    <w:name w:val="Zwykła tabela 31"/>
    <w:basedOn w:val="Standardowy"/>
    <w:uiPriority w:val="43"/>
    <w:rsid w:val="00FE218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4akcent210">
    <w:name w:val="Tabela siatki 4 — akcent 21"/>
    <w:basedOn w:val="Standardowy"/>
    <w:uiPriority w:val="49"/>
    <w:rsid w:val="00394326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character" w:customStyle="1" w:styleId="xbe">
    <w:name w:val="_xbe"/>
    <w:basedOn w:val="Domylnaczcionkaakapitu"/>
    <w:rsid w:val="0019359B"/>
  </w:style>
  <w:style w:type="paragraph" w:styleId="HTML-adres">
    <w:name w:val="HTML Address"/>
    <w:basedOn w:val="Normalny"/>
    <w:link w:val="HTML-adresZnak"/>
    <w:uiPriority w:val="99"/>
    <w:semiHidden/>
    <w:unhideWhenUsed/>
    <w:rsid w:val="001C495A"/>
    <w:rPr>
      <w:i/>
      <w:iCs/>
      <w:sz w:val="24"/>
      <w:szCs w:val="24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C49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5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5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siatki4akcent41">
    <w:name w:val="Tabela siatki 4 — akcent 41"/>
    <w:basedOn w:val="Standardowy"/>
    <w:uiPriority w:val="49"/>
    <w:rsid w:val="00610F12"/>
    <w:pPr>
      <w:spacing w:after="0" w:line="240" w:lineRule="auto"/>
    </w:pPr>
    <w:tblPr>
      <w:tblStyleRowBandSize w:val="1"/>
      <w:tblStyleColBandSize w:val="1"/>
      <w:tblBorders>
        <w:top w:val="single" w:sz="4" w:space="0" w:color="FBD387" w:themeColor="accent4" w:themeTint="99"/>
        <w:left w:val="single" w:sz="4" w:space="0" w:color="FBD387" w:themeColor="accent4" w:themeTint="99"/>
        <w:bottom w:val="single" w:sz="4" w:space="0" w:color="FBD387" w:themeColor="accent4" w:themeTint="99"/>
        <w:right w:val="single" w:sz="4" w:space="0" w:color="FBD387" w:themeColor="accent4" w:themeTint="99"/>
        <w:insideH w:val="single" w:sz="4" w:space="0" w:color="FBD387" w:themeColor="accent4" w:themeTint="99"/>
        <w:insideV w:val="single" w:sz="4" w:space="0" w:color="FBD38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B639" w:themeColor="accent4"/>
          <w:left w:val="single" w:sz="4" w:space="0" w:color="F9B639" w:themeColor="accent4"/>
          <w:bottom w:val="single" w:sz="4" w:space="0" w:color="F9B639" w:themeColor="accent4"/>
          <w:right w:val="single" w:sz="4" w:space="0" w:color="F9B639" w:themeColor="accent4"/>
          <w:insideH w:val="nil"/>
          <w:insideV w:val="nil"/>
        </w:tcBorders>
        <w:shd w:val="clear" w:color="auto" w:fill="F9B639" w:themeFill="accent4"/>
      </w:tcPr>
    </w:tblStylePr>
    <w:tblStylePr w:type="lastRow">
      <w:rPr>
        <w:b/>
        <w:bCs/>
      </w:rPr>
      <w:tblPr/>
      <w:tcPr>
        <w:tcBorders>
          <w:top w:val="double" w:sz="4" w:space="0" w:color="F9B63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customStyle="1" w:styleId="Tabelasiatki4akcent22">
    <w:name w:val="Tabela siatki 4 — akcent 22"/>
    <w:basedOn w:val="Standardowy"/>
    <w:uiPriority w:val="49"/>
    <w:rsid w:val="00610F12"/>
    <w:pPr>
      <w:spacing w:after="0" w:line="240" w:lineRule="auto"/>
    </w:pPr>
    <w:tblPr>
      <w:tblStyleRowBandSize w:val="1"/>
      <w:tblStyleColBandSize w:val="1"/>
      <w:tblBorders>
        <w:top w:val="single" w:sz="4" w:space="0" w:color="CDA3D6" w:themeColor="accent2" w:themeTint="99"/>
        <w:left w:val="single" w:sz="4" w:space="0" w:color="CDA3D6" w:themeColor="accent2" w:themeTint="99"/>
        <w:bottom w:val="single" w:sz="4" w:space="0" w:color="CDA3D6" w:themeColor="accent2" w:themeTint="99"/>
        <w:right w:val="single" w:sz="4" w:space="0" w:color="CDA3D6" w:themeColor="accent2" w:themeTint="99"/>
        <w:insideH w:val="single" w:sz="4" w:space="0" w:color="CDA3D6" w:themeColor="accent2" w:themeTint="99"/>
        <w:insideV w:val="single" w:sz="4" w:space="0" w:color="CDA3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66BB" w:themeColor="accent2"/>
          <w:left w:val="single" w:sz="4" w:space="0" w:color="AC66BB" w:themeColor="accent2"/>
          <w:bottom w:val="single" w:sz="4" w:space="0" w:color="AC66BB" w:themeColor="accent2"/>
          <w:right w:val="single" w:sz="4" w:space="0" w:color="AC66BB" w:themeColor="accent2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</w:rPr>
      <w:tblPr/>
      <w:tcPr>
        <w:tcBorders>
          <w:top w:val="double" w:sz="4" w:space="0" w:color="AC66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0F1" w:themeFill="accent2" w:themeFillTint="33"/>
      </w:tcPr>
    </w:tblStylePr>
    <w:tblStylePr w:type="band1Horz">
      <w:tblPr/>
      <w:tcPr>
        <w:shd w:val="clear" w:color="auto" w:fill="EEE0F1" w:themeFill="accent2" w:themeFillTint="33"/>
      </w:tcPr>
    </w:tblStylePr>
  </w:style>
  <w:style w:type="table" w:styleId="Tabela-Siatka">
    <w:name w:val="Table Grid"/>
    <w:basedOn w:val="Standardowy"/>
    <w:uiPriority w:val="39"/>
    <w:rsid w:val="0045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21">
    <w:name w:val="Tabela siatki 5 — ciemna — akcent 21"/>
    <w:basedOn w:val="Standardowy"/>
    <w:uiPriority w:val="50"/>
    <w:rsid w:val="0017410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0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band1Vert">
      <w:tblPr/>
      <w:tcPr>
        <w:shd w:val="clear" w:color="auto" w:fill="DDC1E3" w:themeFill="accent2" w:themeFillTint="66"/>
      </w:tcPr>
    </w:tblStylePr>
    <w:tblStylePr w:type="band1Horz">
      <w:tblPr/>
      <w:tcPr>
        <w:shd w:val="clear" w:color="auto" w:fill="DDC1E3" w:themeFill="accent2" w:themeFillTint="66"/>
      </w:tcPr>
    </w:tblStylePr>
  </w:style>
  <w:style w:type="paragraph" w:styleId="Poprawka">
    <w:name w:val="Revision"/>
    <w:hidden/>
    <w:uiPriority w:val="99"/>
    <w:semiHidden/>
    <w:rsid w:val="004E6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3E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C63E4"/>
    <w:rPr>
      <w:rFonts w:eastAsiaTheme="minorEastAsia"/>
      <w:color w:val="5A5A5A" w:themeColor="text1" w:themeTint="A5"/>
      <w:spacing w:val="15"/>
    </w:rPr>
  </w:style>
  <w:style w:type="table" w:customStyle="1" w:styleId="Tabelasiatki5ciemnaakcent22">
    <w:name w:val="Tabela siatki 5 — ciemna — akcent 22"/>
    <w:basedOn w:val="Standardowy"/>
    <w:uiPriority w:val="50"/>
    <w:rsid w:val="000A20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0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66B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66BB" w:themeFill="accent2"/>
      </w:tcPr>
    </w:tblStylePr>
    <w:tblStylePr w:type="band1Vert">
      <w:tblPr/>
      <w:tcPr>
        <w:shd w:val="clear" w:color="auto" w:fill="DDC1E3" w:themeFill="accent2" w:themeFillTint="66"/>
      </w:tcPr>
    </w:tblStylePr>
    <w:tblStylePr w:type="band1Horz">
      <w:tblPr/>
      <w:tcPr>
        <w:shd w:val="clear" w:color="auto" w:fill="DDC1E3" w:themeFill="accent2" w:themeFillTint="66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33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33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333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2333"/>
    <w:rPr>
      <w:rFonts w:asciiTheme="majorHAnsi" w:eastAsiaTheme="majorEastAsia" w:hAnsiTheme="majorHAnsi" w:cstheme="majorBidi"/>
      <w:b/>
      <w:bCs/>
      <w:color w:val="B83D68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4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5899">
                  <w:marLeft w:val="300"/>
                  <w:marRight w:val="300"/>
                  <w:marTop w:val="0"/>
                  <w:marBottom w:val="150"/>
                  <w:divBdr>
                    <w:top w:val="single" w:sz="6" w:space="5" w:color="CDCDC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8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0AA7E-68A2-49C4-BBE9-C55BBCBA6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3724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Izdebski Jarosław</dc:creator>
  <cp:lastModifiedBy>Daria Sowa</cp:lastModifiedBy>
  <cp:revision>2</cp:revision>
  <cp:lastPrinted>2018-03-27T07:00:00Z</cp:lastPrinted>
  <dcterms:created xsi:type="dcterms:W3CDTF">2018-04-04T08:10:00Z</dcterms:created>
  <dcterms:modified xsi:type="dcterms:W3CDTF">2018-04-04T08:10:00Z</dcterms:modified>
</cp:coreProperties>
</file>